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9" w:type="dxa"/>
        <w:tblLayout w:type="fixed"/>
        <w:tblCellMar>
          <w:left w:w="57" w:type="dxa"/>
          <w:right w:w="57" w:type="dxa"/>
        </w:tblCellMar>
        <w:tblLook w:val="04A0" w:firstRow="1" w:lastRow="0" w:firstColumn="1" w:lastColumn="0" w:noHBand="0" w:noVBand="1"/>
      </w:tblPr>
      <w:tblGrid>
        <w:gridCol w:w="2410"/>
        <w:gridCol w:w="425"/>
        <w:gridCol w:w="57"/>
        <w:gridCol w:w="5613"/>
        <w:gridCol w:w="2184"/>
      </w:tblGrid>
      <w:tr w:rsidR="005B07EF" w:rsidTr="00972EFB">
        <w:trPr>
          <w:trHeight w:hRule="exact" w:val="1928"/>
        </w:trPr>
        <w:tc>
          <w:tcPr>
            <w:tcW w:w="8505" w:type="dxa"/>
            <w:gridSpan w:val="4"/>
          </w:tcPr>
          <w:p w:rsidR="005B07EF" w:rsidRPr="00677A03" w:rsidRDefault="00677A03" w:rsidP="00D24E14">
            <w:pPr>
              <w:pStyle w:val="berschrift3"/>
              <w:tabs>
                <w:tab w:val="clear" w:pos="1843"/>
                <w:tab w:val="clear" w:pos="2835"/>
                <w:tab w:val="clear" w:pos="5387"/>
              </w:tabs>
              <w:rPr>
                <w:rFonts w:cs="Tahoma"/>
                <w:lang w:val="en-US"/>
              </w:rPr>
            </w:pPr>
            <w:bookmarkStart w:id="0" w:name="_GoBack"/>
            <w:bookmarkEnd w:id="0"/>
            <w:r w:rsidRPr="00677A03">
              <w:rPr>
                <w:rFonts w:cs="Tahoma"/>
                <w:lang w:val="en-GB"/>
              </w:rPr>
              <w:t>Joint company exhibition of</w:t>
            </w:r>
            <w:r w:rsidRPr="00677A03">
              <w:rPr>
                <w:rFonts w:cs="Tahoma"/>
                <w:lang w:val="en-GB"/>
              </w:rPr>
              <w:br/>
              <w:t>the Federal Republic of Germany</w:t>
            </w:r>
            <w:r w:rsidR="005B07EF" w:rsidRPr="00677A03">
              <w:rPr>
                <w:rFonts w:cs="Tahoma"/>
                <w:lang w:val="en-US"/>
              </w:rPr>
              <w:t xml:space="preserve"> </w:t>
            </w:r>
          </w:p>
          <w:p w:rsidR="005B07EF" w:rsidRPr="00677A03" w:rsidRDefault="005B07EF" w:rsidP="00D24E14">
            <w:pPr>
              <w:rPr>
                <w:rFonts w:cs="Tahoma"/>
                <w:sz w:val="8"/>
                <w:szCs w:val="8"/>
                <w:lang w:val="en-US"/>
              </w:rPr>
            </w:pPr>
          </w:p>
          <w:p w:rsidR="000520B1" w:rsidRPr="00677A03" w:rsidRDefault="000520B1" w:rsidP="002B36F4">
            <w:pPr>
              <w:rPr>
                <w:rFonts w:cs="Tahoma"/>
                <w:color w:val="365F91"/>
                <w:sz w:val="24"/>
                <w:szCs w:val="24"/>
                <w:lang w:val="en-US"/>
              </w:rPr>
            </w:pPr>
            <w:r w:rsidRPr="00993814">
              <w:rPr>
                <w:rFonts w:cs="Tahoma"/>
                <w:color w:val="365F91"/>
                <w:sz w:val="24"/>
                <w:szCs w:val="24"/>
              </w:rPr>
              <w:t>ibtm Asia Pacific</w:t>
            </w:r>
            <w:r w:rsidR="002B36F4" w:rsidRPr="00993814">
              <w:rPr>
                <w:rFonts w:cs="Tahoma"/>
                <w:vanish/>
                <w:color w:val="365F91"/>
                <w:sz w:val="24"/>
                <w:szCs w:val="24"/>
              </w:rPr>
              <w:t xml:space="preserve"> </w:t>
            </w:r>
            <w:r w:rsidR="002B36F4" w:rsidRPr="00993814">
              <w:rPr>
                <w:rFonts w:cs="Tahoma"/>
                <w:color w:val="365F91"/>
                <w:sz w:val="24"/>
                <w:szCs w:val="24"/>
              </w:rPr>
              <w:br/>
            </w:r>
            <w:r w:rsidRPr="00616BB6">
              <w:rPr>
                <w:rFonts w:cs="Tahoma"/>
                <w:color w:val="365F91"/>
                <w:sz w:val="24"/>
                <w:szCs w:val="24"/>
                <w:lang w:val="en-US"/>
              </w:rPr>
              <w:t xml:space="preserve">13. Apr. - 14. Apr. 2021, Singapore, Singapore </w:t>
            </w:r>
          </w:p>
        </w:tc>
        <w:tc>
          <w:tcPr>
            <w:tcW w:w="2184" w:type="dxa"/>
          </w:tcPr>
          <w:p w:rsidR="005B07EF" w:rsidRDefault="00CA6F7B" w:rsidP="00D24E14">
            <w:pPr>
              <w:jc w:val="right"/>
            </w:pPr>
            <w:r>
              <w:rPr>
                <w:rFonts w:ascii="Arial" w:hAnsi="Arial"/>
                <w:b/>
                <w:noProof/>
              </w:rPr>
              <w:drawing>
                <wp:inline distT="0" distB="0" distL="0" distR="0">
                  <wp:extent cx="1276350" cy="923925"/>
                  <wp:effectExtent l="0" t="0" r="0" b="9525"/>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r>
      <w:tr w:rsidR="00D3211F" w:rsidRPr="00BE00CC" w:rsidTr="00972EFB">
        <w:tblPrEx>
          <w:tblCellMar>
            <w:left w:w="0" w:type="dxa"/>
          </w:tblCellMar>
        </w:tblPrEx>
        <w:trPr>
          <w:trHeight w:hRule="exact" w:val="470"/>
        </w:trPr>
        <w:tc>
          <w:tcPr>
            <w:tcW w:w="2892" w:type="dxa"/>
            <w:gridSpan w:val="3"/>
          </w:tcPr>
          <w:p w:rsidR="00D3211F" w:rsidRPr="00BE00CC" w:rsidRDefault="00D3211F" w:rsidP="008A5EED"/>
        </w:tc>
        <w:tc>
          <w:tcPr>
            <w:tcW w:w="7797" w:type="dxa"/>
            <w:gridSpan w:val="2"/>
          </w:tcPr>
          <w:p w:rsidR="00D3211F" w:rsidRPr="00BE00CC" w:rsidRDefault="00D3211F" w:rsidP="008A5EED">
            <w:pPr>
              <w:rPr>
                <w:rFonts w:cs="Tahoma"/>
                <w:noProof/>
                <w:szCs w:val="16"/>
              </w:rPr>
            </w:pPr>
          </w:p>
        </w:tc>
      </w:tr>
      <w:tr w:rsidR="00D3211F" w:rsidTr="00972EFB">
        <w:tblPrEx>
          <w:tblCellMar>
            <w:left w:w="0" w:type="dxa"/>
          </w:tblCellMar>
        </w:tblPrEx>
        <w:trPr>
          <w:trHeight w:hRule="exact" w:val="227"/>
        </w:trPr>
        <w:tc>
          <w:tcPr>
            <w:tcW w:w="2892" w:type="dxa"/>
            <w:gridSpan w:val="3"/>
          </w:tcPr>
          <w:p w:rsidR="00D3211F" w:rsidRPr="00E30E67" w:rsidRDefault="00D3211F" w:rsidP="008A5EED">
            <w:pPr>
              <w:rPr>
                <w:b/>
              </w:rPr>
            </w:pPr>
            <w:r w:rsidRPr="00571482">
              <w:rPr>
                <w:b/>
                <w:lang w:val="en-GB"/>
              </w:rPr>
              <w:t>Organiser</w:t>
            </w:r>
          </w:p>
        </w:tc>
        <w:tc>
          <w:tcPr>
            <w:tcW w:w="7797" w:type="dxa"/>
            <w:gridSpan w:val="2"/>
          </w:tcPr>
          <w:p w:rsidR="00D3211F" w:rsidRPr="00E30E67" w:rsidRDefault="00D3211F" w:rsidP="008A5EED">
            <w:pPr>
              <w:rPr>
                <w:b/>
              </w:rPr>
            </w:pPr>
            <w:r w:rsidRPr="00571482">
              <w:rPr>
                <w:rFonts w:cs="Tahoma"/>
                <w:b/>
                <w:noProof/>
                <w:szCs w:val="16"/>
                <w:lang w:val="en-GB"/>
              </w:rPr>
              <w:t>In cooperation with</w:t>
            </w:r>
          </w:p>
        </w:tc>
      </w:tr>
      <w:tr w:rsidR="008039A9" w:rsidTr="00972EFB">
        <w:tblPrEx>
          <w:tblCellMar>
            <w:left w:w="0" w:type="dxa"/>
          </w:tblCellMar>
        </w:tblPrEx>
        <w:trPr>
          <w:trHeight w:hRule="exact" w:val="1756"/>
        </w:trPr>
        <w:tc>
          <w:tcPr>
            <w:tcW w:w="2410" w:type="dxa"/>
          </w:tcPr>
          <w:p w:rsidR="008039A9" w:rsidRPr="00837FC6" w:rsidRDefault="00CA6F7B" w:rsidP="00D0701E">
            <w:pPr>
              <w:rPr>
                <w:rFonts w:cs="Tahoma"/>
                <w:szCs w:val="16"/>
              </w:rPr>
            </w:pPr>
            <w:r>
              <w:rPr>
                <w:rFonts w:cs="Tahoma"/>
                <w:noProof/>
                <w:szCs w:val="16"/>
              </w:rPr>
              <w:drawing>
                <wp:inline distT="0" distB="0" distL="0" distR="0">
                  <wp:extent cx="1485900" cy="876300"/>
                  <wp:effectExtent l="0" t="0" r="0" b="0"/>
                  <wp:docPr id="2" name="Bild 2" descr="BMWE_Logo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E_Logo_4C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p>
        </w:tc>
        <w:tc>
          <w:tcPr>
            <w:tcW w:w="8279" w:type="dxa"/>
            <w:gridSpan w:val="4"/>
          </w:tcPr>
          <w:p w:rsidR="008039A9" w:rsidRPr="00837FC6" w:rsidRDefault="00CA6F7B" w:rsidP="00D0701E">
            <w:pPr>
              <w:rPr>
                <w:rFonts w:cs="Tahoma"/>
                <w:noProof/>
                <w:szCs w:val="16"/>
              </w:rPr>
            </w:pPr>
            <w:r>
              <w:rPr>
                <w:rFonts w:cs="Tahoma"/>
                <w:noProof/>
                <w:szCs w:val="16"/>
              </w:rPr>
              <w:drawing>
                <wp:anchor distT="0" distB="0" distL="114300" distR="114300" simplePos="0" relativeHeight="251658240" behindDoc="1" locked="0" layoutInCell="1" allowOverlap="1">
                  <wp:simplePos x="0" y="0"/>
                  <wp:positionH relativeFrom="column">
                    <wp:posOffset>332740</wp:posOffset>
                  </wp:positionH>
                  <wp:positionV relativeFrom="paragraph">
                    <wp:posOffset>140335</wp:posOffset>
                  </wp:positionV>
                  <wp:extent cx="1151255" cy="628015"/>
                  <wp:effectExtent l="0" t="0" r="0" b="635"/>
                  <wp:wrapNone/>
                  <wp:docPr id="23" name="Bild 23"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UMA_hoch_eng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255" cy="628015"/>
                          </a:xfrm>
                          <a:prstGeom prst="rect">
                            <a:avLst/>
                          </a:prstGeom>
                          <a:noFill/>
                        </pic:spPr>
                      </pic:pic>
                    </a:graphicData>
                  </a:graphic>
                  <wp14:sizeRelH relativeFrom="page">
                    <wp14:pctWidth>0</wp14:pctWidth>
                  </wp14:sizeRelH>
                  <wp14:sizeRelV relativeFrom="page">
                    <wp14:pctHeight>0</wp14:pctHeight>
                  </wp14:sizeRelV>
                </wp:anchor>
              </w:drawing>
            </w:r>
          </w:p>
        </w:tc>
      </w:tr>
      <w:tr w:rsidR="007C6EC8" w:rsidTr="00972EFB">
        <w:tblPrEx>
          <w:tblCellMar>
            <w:left w:w="0" w:type="dxa"/>
          </w:tblCellMar>
        </w:tblPrEx>
        <w:trPr>
          <w:trHeight w:hRule="exact" w:val="157"/>
        </w:trPr>
        <w:tc>
          <w:tcPr>
            <w:tcW w:w="8505" w:type="dxa"/>
            <w:gridSpan w:val="4"/>
            <w:tcBorders>
              <w:top w:val="single" w:sz="8" w:space="0" w:color="auto"/>
            </w:tcBorders>
          </w:tcPr>
          <w:p w:rsidR="007C6EC8" w:rsidRPr="00837FC6" w:rsidRDefault="007C6EC8" w:rsidP="008A5EED">
            <w:pPr>
              <w:tabs>
                <w:tab w:val="center" w:pos="567"/>
              </w:tabs>
              <w:ind w:right="197"/>
              <w:rPr>
                <w:rFonts w:cs="Tahoma"/>
                <w:b/>
                <w:szCs w:val="16"/>
              </w:rPr>
            </w:pPr>
          </w:p>
        </w:tc>
        <w:tc>
          <w:tcPr>
            <w:tcW w:w="2184" w:type="dxa"/>
            <w:tcBorders>
              <w:top w:val="single" w:sz="8" w:space="0" w:color="auto"/>
            </w:tcBorders>
          </w:tcPr>
          <w:p w:rsidR="007C6EC8" w:rsidRPr="00837FC6" w:rsidRDefault="007C6EC8" w:rsidP="008A5EED">
            <w:pPr>
              <w:rPr>
                <w:rFonts w:cs="Tahoma"/>
                <w:b/>
                <w:noProof/>
                <w:color w:val="365F91"/>
                <w:szCs w:val="16"/>
                <w:lang w:val="en-US"/>
              </w:rPr>
            </w:pPr>
          </w:p>
        </w:tc>
      </w:tr>
      <w:tr w:rsidR="007A70B7" w:rsidRPr="0096567B" w:rsidTr="00972EFB">
        <w:tblPrEx>
          <w:tblCellMar>
            <w:left w:w="0" w:type="dxa"/>
          </w:tblCellMar>
        </w:tblPrEx>
        <w:trPr>
          <w:trHeight w:hRule="exact" w:val="299"/>
        </w:trPr>
        <w:tc>
          <w:tcPr>
            <w:tcW w:w="10689" w:type="dxa"/>
            <w:gridSpan w:val="5"/>
          </w:tcPr>
          <w:p w:rsidR="007A70B7" w:rsidRPr="00837FC6" w:rsidRDefault="007A70B7" w:rsidP="006E2656">
            <w:pPr>
              <w:rPr>
                <w:rFonts w:cs="Tahoma"/>
                <w:b/>
                <w:noProof/>
                <w:color w:val="365F91"/>
                <w:szCs w:val="16"/>
                <w:lang w:val="en-US"/>
              </w:rPr>
            </w:pPr>
            <w:r w:rsidRPr="00790F78">
              <w:rPr>
                <w:rFonts w:cs="Tahoma"/>
                <w:b/>
                <w:szCs w:val="16"/>
                <w:lang w:val="en-GB"/>
              </w:rPr>
              <w:t>Realisation and exhibition management (implementation company within the meaning of the General Conditions of Participation)</w:t>
            </w:r>
          </w:p>
        </w:tc>
      </w:tr>
      <w:tr w:rsidR="005B07EF" w:rsidRPr="0096567B" w:rsidTr="00972EFB">
        <w:trPr>
          <w:trHeight w:val="1972"/>
        </w:trPr>
        <w:tc>
          <w:tcPr>
            <w:tcW w:w="2835" w:type="dxa"/>
            <w:gridSpan w:val="2"/>
            <w:tcBorders>
              <w:bottom w:val="single" w:sz="8" w:space="0" w:color="auto"/>
            </w:tcBorders>
          </w:tcPr>
          <w:p w:rsidR="005B07EF" w:rsidRPr="00790F78" w:rsidRDefault="005B07EF" w:rsidP="00D24E14">
            <w:pPr>
              <w:rPr>
                <w:rFonts w:cs="Tahoma"/>
                <w:szCs w:val="16"/>
                <w:lang w:val="en-GB"/>
              </w:rPr>
            </w:pPr>
          </w:p>
          <w:p w:rsidR="005B07EF" w:rsidRPr="007A5842" w:rsidRDefault="00CA6F7B" w:rsidP="00D24E14">
            <w:pPr>
              <w:rPr>
                <w:rFonts w:cs="Tahoma"/>
                <w:szCs w:val="16"/>
              </w:rPr>
            </w:pPr>
            <w:r>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52500" cy="254000"/>
                  <wp:effectExtent l="0" t="0" r="0" b="0"/>
                  <wp:wrapNone/>
                  <wp:docPr id="24" name="_x0000_i08cfccac-e23a-45a3-819f-8f668a4b7e76"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8cfccac-e23a-45a3-819f-8f668a4b7e76"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254000"/>
                          </a:xfrm>
                          <a:prstGeom prst="rect">
                            <a:avLst/>
                          </a:prstGeom>
                          <a:noFill/>
                        </pic:spPr>
                      </pic:pic>
                    </a:graphicData>
                  </a:graphic>
                  <wp14:sizeRelH relativeFrom="page">
                    <wp14:pctWidth>0</wp14:pctWidth>
                  </wp14:sizeRelH>
                  <wp14:sizeRelV relativeFrom="page">
                    <wp14:pctHeight>0</wp14:pctHeight>
                  </wp14:sizeRelV>
                </wp:anchor>
              </w:drawing>
            </w:r>
          </w:p>
          <w:p w:rsidR="005B07EF" w:rsidRPr="00837FC6" w:rsidRDefault="005B07EF" w:rsidP="00D24E14">
            <w:pPr>
              <w:tabs>
                <w:tab w:val="center" w:pos="567"/>
              </w:tabs>
              <w:ind w:right="197"/>
              <w:jc w:val="center"/>
              <w:rPr>
                <w:rFonts w:cs="Tahoma"/>
                <w:szCs w:val="16"/>
              </w:rPr>
            </w:pPr>
          </w:p>
        </w:tc>
        <w:tc>
          <w:tcPr>
            <w:tcW w:w="7854" w:type="dxa"/>
            <w:gridSpan w:val="3"/>
            <w:tcBorders>
              <w:bottom w:val="single" w:sz="8" w:space="0" w:color="auto"/>
            </w:tcBorders>
          </w:tcPr>
          <w:p w:rsidR="005B07EF" w:rsidRPr="00837FC6" w:rsidRDefault="005B07EF" w:rsidP="00937A8A">
            <w:pPr>
              <w:tabs>
                <w:tab w:val="clear" w:pos="851"/>
                <w:tab w:val="left" w:pos="585"/>
              </w:tabs>
              <w:rPr>
                <w:rFonts w:cs="Tahoma"/>
                <w:b/>
                <w:noProof/>
                <w:color w:val="365F91"/>
                <w:szCs w:val="16"/>
                <w:lang w:val="en-US"/>
              </w:rPr>
            </w:pPr>
            <w:r w:rsidRPr="00837FC6">
              <w:rPr>
                <w:rFonts w:cs="Tahoma"/>
                <w:b/>
                <w:noProof/>
                <w:color w:val="365F91"/>
                <w:szCs w:val="16"/>
                <w:lang w:val="en-US"/>
              </w:rPr>
              <w:t>Hamburg Messe und Congress GmbH</w:t>
            </w:r>
          </w:p>
          <w:p w:rsidR="00937A8A" w:rsidRDefault="00937A8A" w:rsidP="00937A8A">
            <w:pPr>
              <w:tabs>
                <w:tab w:val="clear" w:pos="851"/>
                <w:tab w:val="left" w:pos="585"/>
              </w:tabs>
              <w:rPr>
                <w:rFonts w:cs="Tahoma"/>
                <w:noProof/>
                <w:szCs w:val="16"/>
                <w:lang w:val="en-US"/>
              </w:rPr>
            </w:pPr>
            <w:r w:rsidRPr="000F59DC">
              <w:rPr>
                <w:rFonts w:cs="Tahoma"/>
                <w:noProof/>
                <w:color w:val="365F91"/>
                <w:szCs w:val="16"/>
                <w:lang w:val="en-US"/>
              </w:rPr>
              <w:t>http://www.hamburg-messe.de</w:t>
            </w:r>
          </w:p>
          <w:p w:rsidR="005B07EF" w:rsidRPr="00837FC6" w:rsidRDefault="00571482" w:rsidP="00937A8A">
            <w:pPr>
              <w:tabs>
                <w:tab w:val="clear" w:pos="851"/>
                <w:tab w:val="left" w:pos="585"/>
              </w:tabs>
              <w:rPr>
                <w:rFonts w:cs="Tahoma"/>
                <w:noProof/>
                <w:color w:val="365F91"/>
                <w:szCs w:val="16"/>
                <w:lang w:val="en-US"/>
              </w:rPr>
            </w:pPr>
            <w:r w:rsidRPr="00993814">
              <w:rPr>
                <w:rFonts w:cs="Tahoma"/>
                <w:noProof/>
                <w:szCs w:val="16"/>
              </w:rPr>
              <w:t>Phone:</w:t>
            </w:r>
            <w:r w:rsidR="005B07EF" w:rsidRPr="00993814">
              <w:rPr>
                <w:rFonts w:cs="Tahoma"/>
                <w:noProof/>
                <w:color w:val="365F91"/>
                <w:szCs w:val="16"/>
              </w:rPr>
              <w:t xml:space="preserve"> </w:t>
            </w:r>
            <w:r w:rsidR="005B07EF" w:rsidRPr="00993814">
              <w:rPr>
                <w:rFonts w:cs="Tahoma"/>
                <w:szCs w:val="18"/>
              </w:rPr>
              <w:tab/>
            </w:r>
            <w:r w:rsidR="005B07EF" w:rsidRPr="009300F0">
              <w:rPr>
                <w:rFonts w:cs="Tahoma"/>
                <w:noProof/>
                <w:color w:val="365F91"/>
                <w:szCs w:val="16"/>
                <w:lang w:val="en-US"/>
              </w:rPr>
              <w:t>+49 40 3569-0</w:t>
            </w:r>
          </w:p>
          <w:p w:rsidR="005B07EF" w:rsidRPr="009C18EB" w:rsidRDefault="005B07EF" w:rsidP="00937A8A">
            <w:pPr>
              <w:tabs>
                <w:tab w:val="clear" w:pos="851"/>
                <w:tab w:val="left" w:pos="585"/>
              </w:tabs>
              <w:rPr>
                <w:rFonts w:cs="Tahoma"/>
                <w:noProof/>
                <w:color w:val="365F91"/>
                <w:sz w:val="8"/>
                <w:szCs w:val="8"/>
                <w:lang w:val="en-US"/>
              </w:rPr>
            </w:pPr>
          </w:p>
          <w:p w:rsidR="005B07EF" w:rsidRDefault="005B07EF" w:rsidP="00937A8A">
            <w:pPr>
              <w:tabs>
                <w:tab w:val="clear" w:pos="851"/>
                <w:tab w:val="left" w:pos="585"/>
              </w:tabs>
              <w:rPr>
                <w:rFonts w:cs="Tahoma"/>
                <w:b/>
                <w:noProof/>
                <w:color w:val="365F91"/>
                <w:szCs w:val="16"/>
                <w:lang w:val="en-US"/>
              </w:rPr>
            </w:pPr>
            <w:r w:rsidRPr="00993814">
              <w:rPr>
                <w:rFonts w:cs="Tahoma"/>
                <w:b/>
                <w:noProof/>
                <w:szCs w:val="16"/>
              </w:rPr>
              <w:t>Project manager:</w:t>
            </w:r>
            <w:r w:rsidRPr="00993814">
              <w:rPr>
                <w:rFonts w:cs="Tahoma"/>
                <w:b/>
                <w:noProof/>
                <w:color w:val="365F91"/>
                <w:szCs w:val="16"/>
              </w:rPr>
              <w:t xml:space="preserve"> </w:t>
            </w:r>
            <w:r w:rsidRPr="00993814">
              <w:rPr>
                <w:rFonts w:cs="Tahoma"/>
                <w:b/>
                <w:noProof/>
                <w:color w:val="365F91"/>
                <w:szCs w:val="16"/>
              </w:rPr>
              <w:br/>
            </w:r>
            <w:r w:rsidRPr="00571482">
              <w:rPr>
                <w:rFonts w:cs="Tahoma"/>
                <w:b/>
                <w:noProof/>
                <w:color w:val="365F91"/>
                <w:szCs w:val="16"/>
                <w:lang w:val="en-US"/>
              </w:rPr>
              <w:t>Vincent Spitzmann</w:t>
            </w:r>
          </w:p>
          <w:p w:rsidR="00937A8A" w:rsidRPr="00571482" w:rsidRDefault="00937A8A" w:rsidP="00937A8A">
            <w:pPr>
              <w:tabs>
                <w:tab w:val="clear" w:pos="851"/>
                <w:tab w:val="left" w:pos="585"/>
              </w:tabs>
              <w:rPr>
                <w:rFonts w:cs="Tahoma"/>
                <w:noProof/>
                <w:color w:val="365F91"/>
                <w:szCs w:val="16"/>
                <w:lang w:val="en-US"/>
              </w:rPr>
            </w:pPr>
            <w:r w:rsidRPr="00837FC6">
              <w:rPr>
                <w:rFonts w:cs="Tahoma"/>
                <w:noProof/>
                <w:color w:val="365F91"/>
                <w:szCs w:val="16"/>
                <w:lang w:val="en-US"/>
              </w:rPr>
              <w:t>vincent.spitzmann@hamburg-messe.de</w:t>
            </w:r>
          </w:p>
          <w:p w:rsidR="005B07EF" w:rsidRPr="00571482" w:rsidRDefault="00571482" w:rsidP="00937A8A">
            <w:pPr>
              <w:tabs>
                <w:tab w:val="clear" w:pos="851"/>
                <w:tab w:val="left" w:pos="585"/>
              </w:tabs>
              <w:rPr>
                <w:rFonts w:cs="Tahoma"/>
                <w:noProof/>
                <w:color w:val="365F91"/>
                <w:szCs w:val="16"/>
                <w:lang w:val="en-US"/>
              </w:rPr>
            </w:pPr>
            <w:r w:rsidRPr="00993814">
              <w:rPr>
                <w:rFonts w:cs="Tahoma"/>
                <w:noProof/>
                <w:szCs w:val="16"/>
              </w:rPr>
              <w:t>Phone:</w:t>
            </w:r>
            <w:r w:rsidR="005B07EF" w:rsidRPr="00993814">
              <w:rPr>
                <w:rFonts w:cs="Tahoma"/>
                <w:szCs w:val="18"/>
              </w:rPr>
              <w:tab/>
            </w:r>
            <w:r w:rsidR="005B07EF" w:rsidRPr="00423B1B">
              <w:rPr>
                <w:rFonts w:cs="Tahoma"/>
                <w:noProof/>
                <w:color w:val="365F91"/>
                <w:szCs w:val="16"/>
                <w:lang w:val="en-US"/>
              </w:rPr>
              <w:t>+49 40 3569-2284</w:t>
            </w:r>
          </w:p>
          <w:p w:rsidR="005B07EF" w:rsidRPr="00837FC6" w:rsidRDefault="00937A8A" w:rsidP="00937A8A">
            <w:pPr>
              <w:tabs>
                <w:tab w:val="clear" w:pos="851"/>
                <w:tab w:val="left" w:pos="585"/>
              </w:tabs>
              <w:spacing w:after="60"/>
              <w:rPr>
                <w:rFonts w:cs="Tahoma"/>
                <w:noProof/>
                <w:color w:val="365F91"/>
                <w:szCs w:val="16"/>
                <w:lang w:val="en-US"/>
              </w:rPr>
            </w:pPr>
            <w:r w:rsidRPr="00993814">
              <w:rPr>
                <w:rFonts w:cs="Tahoma"/>
                <w:noProof/>
                <w:szCs w:val="16"/>
              </w:rPr>
              <w:t>Fax:</w:t>
            </w:r>
            <w:r w:rsidRPr="00993814">
              <w:rPr>
                <w:rFonts w:cs="Tahoma"/>
                <w:szCs w:val="18"/>
              </w:rPr>
              <w:t xml:space="preserve"> </w:t>
            </w:r>
            <w:r w:rsidRPr="00993814">
              <w:rPr>
                <w:rFonts w:cs="Tahoma"/>
                <w:szCs w:val="18"/>
              </w:rPr>
              <w:tab/>
            </w:r>
            <w:r w:rsidRPr="00423B1B">
              <w:rPr>
                <w:rFonts w:cs="Tahoma"/>
                <w:noProof/>
                <w:color w:val="365F91"/>
                <w:szCs w:val="16"/>
                <w:lang w:val="en-US"/>
              </w:rPr>
              <w:t>+49 40 3569-692284</w:t>
            </w:r>
          </w:p>
        </w:tc>
      </w:tr>
      <w:tr w:rsidR="009300F0" w:rsidRPr="0096567B" w:rsidTr="00972EFB">
        <w:trPr>
          <w:trHeight w:val="818"/>
        </w:trPr>
        <w:tc>
          <w:tcPr>
            <w:tcW w:w="10689" w:type="dxa"/>
            <w:gridSpan w:val="5"/>
            <w:tcBorders>
              <w:top w:val="single" w:sz="8" w:space="0" w:color="auto"/>
              <w:left w:val="single" w:sz="8" w:space="0" w:color="auto"/>
              <w:bottom w:val="single" w:sz="8" w:space="0" w:color="auto"/>
              <w:right w:val="single" w:sz="8" w:space="0" w:color="auto"/>
            </w:tcBorders>
            <w:shd w:val="clear" w:color="auto" w:fill="D9D9D9"/>
          </w:tcPr>
          <w:p w:rsidR="009300F0" w:rsidRPr="001F2B8E" w:rsidRDefault="009300F0" w:rsidP="00595405">
            <w:pPr>
              <w:pStyle w:val="berschrift1"/>
              <w:spacing w:before="60"/>
              <w:rPr>
                <w:lang w:val="en-US"/>
              </w:rPr>
            </w:pPr>
            <w:r w:rsidRPr="001F2B8E">
              <w:rPr>
                <w:lang w:val="en-GB"/>
              </w:rPr>
              <w:t>Special Conditions of Participation</w:t>
            </w:r>
          </w:p>
          <w:p w:rsidR="009300F0" w:rsidRPr="00790F78" w:rsidRDefault="009300F0" w:rsidP="0065248A">
            <w:pPr>
              <w:spacing w:before="60" w:after="60"/>
              <w:ind w:right="593"/>
              <w:rPr>
                <w:rFonts w:cs="Tahoma"/>
                <w:sz w:val="20"/>
                <w:lang w:val="en-GB"/>
              </w:rPr>
            </w:pPr>
            <w:r w:rsidRPr="00790F78">
              <w:rPr>
                <w:rFonts w:cs="Tahoma"/>
                <w:sz w:val="20"/>
                <w:lang w:val="en-GB"/>
              </w:rPr>
              <w:t>as supplement to the General Conditions of Participation of the Federal Republic of Germany at trade fairs and exhibitions abroad</w:t>
            </w:r>
          </w:p>
        </w:tc>
      </w:tr>
    </w:tbl>
    <w:p w:rsidR="0065248A" w:rsidRPr="00E85544" w:rsidRDefault="0065248A" w:rsidP="0065248A">
      <w:pPr>
        <w:pStyle w:val="Nummerierung"/>
        <w:rPr>
          <w:lang w:val="en-US"/>
        </w:rPr>
      </w:pPr>
    </w:p>
    <w:p w:rsidR="0065248A" w:rsidRPr="00E85544" w:rsidRDefault="0065248A" w:rsidP="0065248A">
      <w:pPr>
        <w:pStyle w:val="Nummerierung"/>
        <w:rPr>
          <w:lang w:val="en-US"/>
        </w:rPr>
      </w:pPr>
    </w:p>
    <w:p w:rsidR="005B07EF" w:rsidRPr="00296698" w:rsidRDefault="00296698" w:rsidP="005B07EF">
      <w:pPr>
        <w:pStyle w:val="Nummerierung"/>
        <w:rPr>
          <w:b/>
          <w:sz w:val="20"/>
          <w:lang w:val="en-US"/>
        </w:rPr>
      </w:pPr>
      <w:r w:rsidRPr="00993814">
        <w:rPr>
          <w:noProof/>
          <w:vanish/>
          <w:szCs w:val="16"/>
        </w:rPr>
        <w:t xml:space="preserve"> </w:t>
      </w:r>
      <w:r w:rsidR="005B07EF" w:rsidRPr="00993814">
        <w:rPr>
          <w:b/>
          <w:sz w:val="20"/>
        </w:rPr>
        <w:t>1.</w:t>
      </w:r>
      <w:r w:rsidR="005B07EF" w:rsidRPr="00993814">
        <w:rPr>
          <w:b/>
          <w:sz w:val="20"/>
        </w:rPr>
        <w:tab/>
      </w:r>
      <w:r w:rsidR="00166D1D" w:rsidRPr="00296698">
        <w:rPr>
          <w:b/>
          <w:sz w:val="20"/>
          <w:lang w:val="en-US"/>
        </w:rPr>
        <w:t xml:space="preserve">Closing date for registrations </w:t>
      </w:r>
    </w:p>
    <w:p w:rsidR="005B07EF" w:rsidRPr="00EB77C1" w:rsidRDefault="005B07EF" w:rsidP="005B07EF">
      <w:pPr>
        <w:pStyle w:val="Nummerierung"/>
        <w:rPr>
          <w:b/>
          <w:lang w:val="en-US"/>
        </w:rPr>
      </w:pPr>
      <w:r w:rsidRPr="00E85544">
        <w:rPr>
          <w:lang w:val="en-US"/>
        </w:rPr>
        <w:tab/>
      </w:r>
      <w:r w:rsidR="00EB77C1" w:rsidRPr="00EB77C1">
        <w:rPr>
          <w:b/>
          <w:lang w:val="en-US"/>
        </w:rPr>
        <w:t>20. November 2020</w:t>
      </w:r>
    </w:p>
    <w:p w:rsidR="005B07EF" w:rsidRPr="00E85544" w:rsidRDefault="005B07EF" w:rsidP="00972EFB">
      <w:pPr>
        <w:pStyle w:val="Nummerierung"/>
        <w:ind w:right="821"/>
        <w:rPr>
          <w:lang w:val="en-US"/>
        </w:rPr>
      </w:pPr>
      <w:r w:rsidRPr="00E85544">
        <w:rPr>
          <w:lang w:val="en-US"/>
        </w:rPr>
        <w:tab/>
      </w:r>
      <w:r w:rsidR="00E85544" w:rsidRPr="00993814">
        <w:t xml:space="preserve">It is pointed out that, on principle, the participation can only be conducted, should the </w:t>
      </w:r>
      <w:r w:rsidR="00E85544" w:rsidRPr="00993814">
        <w:rPr>
          <w:b/>
        </w:rPr>
        <w:t>minimum participation of</w:t>
      </w:r>
      <w:r w:rsidR="001F7949" w:rsidRPr="00993814">
        <w:rPr>
          <w:b/>
        </w:rPr>
        <w:br/>
      </w:r>
      <w:r w:rsidR="00D279FE" w:rsidRPr="00993814">
        <w:rPr>
          <w:b/>
        </w:rPr>
        <w:t xml:space="preserve">10 companies </w:t>
      </w:r>
      <w:r w:rsidR="00E85544" w:rsidRPr="00993814">
        <w:t>be reached. Registrations submitted after the closing date for registrations will not be considered.</w:t>
      </w:r>
    </w:p>
    <w:p w:rsidR="005B07EF" w:rsidRPr="00E85544" w:rsidRDefault="005B07EF" w:rsidP="005B07EF">
      <w:pPr>
        <w:pStyle w:val="Nummerierung"/>
        <w:rPr>
          <w:lang w:val="en-US"/>
        </w:rPr>
      </w:pPr>
    </w:p>
    <w:p w:rsidR="005B07EF" w:rsidRPr="00E85544" w:rsidRDefault="005B07EF" w:rsidP="005B07EF">
      <w:pPr>
        <w:pStyle w:val="Nummerierung"/>
        <w:rPr>
          <w:lang w:val="en-US"/>
        </w:rPr>
      </w:pPr>
    </w:p>
    <w:p w:rsidR="005B07EF" w:rsidRPr="00FB5B24" w:rsidRDefault="005B07EF" w:rsidP="005B07EF">
      <w:pPr>
        <w:pStyle w:val="Nummerierung"/>
        <w:rPr>
          <w:lang w:val="en-US"/>
        </w:rPr>
      </w:pPr>
      <w:r w:rsidRPr="00993814">
        <w:rPr>
          <w:b/>
          <w:sz w:val="20"/>
        </w:rPr>
        <w:t>2.</w:t>
      </w:r>
      <w:r w:rsidRPr="00993814">
        <w:rPr>
          <w:b/>
          <w:sz w:val="20"/>
        </w:rPr>
        <w:tab/>
      </w:r>
      <w:r w:rsidR="00857E4A" w:rsidRPr="00993814">
        <w:rPr>
          <w:b/>
          <w:sz w:val="20"/>
        </w:rPr>
        <w:t>Minimum stand space</w:t>
      </w:r>
    </w:p>
    <w:p w:rsidR="002570F6" w:rsidRDefault="002570F6" w:rsidP="002570F6">
      <w:pPr>
        <w:pStyle w:val="Nummerierung"/>
        <w:ind w:left="1702" w:right="851"/>
        <w:rPr>
          <w:lang w:val="en-US"/>
        </w:rPr>
      </w:pPr>
      <w:r w:rsidRPr="008D4897">
        <w:rPr>
          <w:lang w:val="en-US"/>
        </w:rPr>
        <w:t>• not applicable</w:t>
      </w:r>
    </w:p>
    <w:p w:rsidR="002570F6" w:rsidRDefault="002570F6" w:rsidP="002570F6">
      <w:pPr>
        <w:pStyle w:val="Nummerierung"/>
        <w:rPr>
          <w:lang w:val="en-US"/>
        </w:rPr>
      </w:pPr>
    </w:p>
    <w:p w:rsidR="005B07EF" w:rsidRPr="00E85544" w:rsidRDefault="005B07EF" w:rsidP="005B07EF">
      <w:pPr>
        <w:pStyle w:val="Nummerierung"/>
        <w:rPr>
          <w:lang w:val="en-US"/>
        </w:rPr>
      </w:pPr>
    </w:p>
    <w:p w:rsidR="005B07EF" w:rsidRPr="00FB5B24" w:rsidRDefault="005B07EF" w:rsidP="005B07EF">
      <w:pPr>
        <w:pStyle w:val="Nummerierung"/>
        <w:rPr>
          <w:b/>
          <w:sz w:val="20"/>
          <w:lang w:val="en-US"/>
        </w:rPr>
      </w:pPr>
      <w:r w:rsidRPr="00993814">
        <w:rPr>
          <w:b/>
          <w:sz w:val="20"/>
        </w:rPr>
        <w:t>3.</w:t>
      </w:r>
      <w:r w:rsidRPr="00993814">
        <w:rPr>
          <w:b/>
          <w:sz w:val="20"/>
        </w:rPr>
        <w:tab/>
      </w:r>
      <w:r w:rsidR="00166D1D" w:rsidRPr="00790F78">
        <w:rPr>
          <w:b/>
          <w:sz w:val="20"/>
          <w:lang w:val="en-GB"/>
        </w:rPr>
        <w:t>Participation fee/s</w:t>
      </w:r>
    </w:p>
    <w:p w:rsidR="00F84537" w:rsidRDefault="005B07EF" w:rsidP="0065248A">
      <w:pPr>
        <w:pStyle w:val="Nummerierung"/>
        <w:ind w:right="821"/>
        <w:rPr>
          <w:lang w:val="en-GB"/>
        </w:rPr>
      </w:pPr>
      <w:r w:rsidRPr="00FB5B24">
        <w:rPr>
          <w:lang w:val="en-US"/>
        </w:rPr>
        <w:tab/>
      </w:r>
      <w:r w:rsidR="00681F7D" w:rsidRPr="00EC2C76">
        <w:rPr>
          <w:lang w:val="en-US"/>
        </w:rPr>
        <w:t xml:space="preserve">The participation fees quoted are subject, where applicable, to statutory German value-added tax and to statutory foreign taxation </w:t>
      </w:r>
      <w:r w:rsidR="00681F7D" w:rsidRPr="00EC2C76">
        <w:rPr>
          <w:lang w:val="en-US"/>
        </w:rPr>
        <w:br/>
        <w:t xml:space="preserve">(e.g. VAT, sales tax) levied on services provided to the exhibitor by the implementation company. The participation fees </w:t>
      </w:r>
      <w:r w:rsidR="00681F7D" w:rsidRPr="00993814">
        <w:rPr>
          <w:lang w:val="en-GB"/>
        </w:rPr>
        <w:t>according to No. 3.3.1. only cover a part of the total costs of services according to No. 5.</w:t>
      </w:r>
    </w:p>
    <w:p w:rsidR="00C40F5E" w:rsidRPr="002C74E6" w:rsidRDefault="00F84537" w:rsidP="00C40F5E">
      <w:pPr>
        <w:pStyle w:val="Nummerierung"/>
        <w:rPr>
          <w:lang w:val="en-US"/>
        </w:rPr>
      </w:pPr>
      <w:r>
        <w:rPr>
          <w:lang w:val="en-GB"/>
        </w:rPr>
        <w:br w:type="page"/>
      </w:r>
      <w:bookmarkStart w:id="1" w:name="_Ref263838094"/>
      <w:r w:rsidR="00C40F5E" w:rsidRPr="00993814">
        <w:rPr>
          <w:b/>
        </w:rPr>
        <w:lastRenderedPageBreak/>
        <w:t>3.1.</w:t>
      </w:r>
      <w:r w:rsidR="00C40F5E" w:rsidRPr="00993814">
        <w:rPr>
          <w:b/>
        </w:rPr>
        <w:tab/>
      </w:r>
      <w:bookmarkEnd w:id="1"/>
      <w:r w:rsidR="00C40F5E" w:rsidRPr="00993814">
        <w:rPr>
          <w:b/>
        </w:rPr>
        <w:t>Square meter</w:t>
      </w:r>
    </w:p>
    <w:p w:rsidR="00A912E9" w:rsidRDefault="00A912E9" w:rsidP="00A912E9">
      <w:pPr>
        <w:pStyle w:val="Nummerierung"/>
        <w:ind w:firstLine="0"/>
        <w:rPr>
          <w:lang w:val="en-US"/>
        </w:rPr>
      </w:pPr>
      <w:r>
        <w:rPr>
          <w:lang w:val="en-US"/>
        </w:rPr>
        <w:t>• not applicable</w:t>
      </w:r>
    </w:p>
    <w:p w:rsidR="00206FCC" w:rsidRDefault="00206FCC" w:rsidP="00206FCC">
      <w:pPr>
        <w:pStyle w:val="Nummerierung"/>
        <w:rPr>
          <w:lang w:val="en-US"/>
        </w:rPr>
      </w:pPr>
    </w:p>
    <w:p w:rsidR="00206FCC" w:rsidRPr="00976B29" w:rsidRDefault="00206FCC" w:rsidP="00206FCC">
      <w:pPr>
        <w:pStyle w:val="Nummerierung"/>
        <w:rPr>
          <w:lang w:val="en-US"/>
        </w:rPr>
      </w:pPr>
      <w:r w:rsidRPr="00993814">
        <w:rPr>
          <w:b/>
        </w:rPr>
        <w:t>3.1.4.</w:t>
      </w:r>
      <w:r w:rsidRPr="00993814">
        <w:tab/>
      </w:r>
      <w:r w:rsidR="006E2656" w:rsidRPr="00993814">
        <w:rPr>
          <w:b/>
        </w:rPr>
        <w:t>Sub-Exhibitor</w:t>
      </w:r>
      <w:r w:rsidR="00921DE8" w:rsidRPr="00993814">
        <w:t xml:space="preserve"> </w:t>
      </w:r>
    </w:p>
    <w:p w:rsidR="00921DE8" w:rsidRPr="00790F78" w:rsidRDefault="00921DE8" w:rsidP="00921DE8">
      <w:pPr>
        <w:pStyle w:val="Nummerierung"/>
        <w:ind w:firstLine="0"/>
        <w:rPr>
          <w:lang w:val="en-GB"/>
        </w:rPr>
      </w:pPr>
      <w:r w:rsidRPr="00790F78">
        <w:rPr>
          <w:lang w:val="en-GB"/>
        </w:rPr>
        <w:t>• not applicable</w:t>
      </w:r>
    </w:p>
    <w:p w:rsidR="00921DE8" w:rsidRDefault="00921DE8" w:rsidP="00921DE8">
      <w:pPr>
        <w:pStyle w:val="Nummerierung"/>
        <w:rPr>
          <w:lang w:val="en-US"/>
        </w:rPr>
      </w:pPr>
    </w:p>
    <w:p w:rsidR="009B00DF" w:rsidRPr="008D4897" w:rsidRDefault="009B00DF" w:rsidP="00D25807">
      <w:pPr>
        <w:pStyle w:val="Nummerierung"/>
        <w:rPr>
          <w:lang w:val="en-US"/>
        </w:rPr>
      </w:pPr>
      <w:r w:rsidRPr="00993814">
        <w:rPr>
          <w:b/>
        </w:rPr>
        <w:t>3.2.</w:t>
      </w:r>
      <w:r w:rsidRPr="00EB4808">
        <w:rPr>
          <w:b/>
          <w:lang w:val="en-US"/>
        </w:rPr>
        <w:tab/>
        <w:t>Shelves</w:t>
      </w:r>
    </w:p>
    <w:p w:rsidR="00A04E14" w:rsidRDefault="00A04E14" w:rsidP="00A04E14">
      <w:pPr>
        <w:pStyle w:val="Nummerierung"/>
        <w:ind w:firstLine="0"/>
        <w:rPr>
          <w:lang w:val="en-US"/>
        </w:rPr>
      </w:pPr>
      <w:r>
        <w:rPr>
          <w:lang w:val="en-US"/>
        </w:rPr>
        <w:t>• not applicable</w:t>
      </w:r>
    </w:p>
    <w:p w:rsidR="00A04E14" w:rsidRDefault="00A04E14" w:rsidP="00A04E14">
      <w:pPr>
        <w:pStyle w:val="Nummerierung"/>
        <w:ind w:left="0" w:firstLine="0"/>
        <w:rPr>
          <w:lang w:val="en-US"/>
        </w:rPr>
      </w:pPr>
    </w:p>
    <w:p w:rsidR="009B00DF" w:rsidRDefault="009B00DF" w:rsidP="001425DC">
      <w:pPr>
        <w:pStyle w:val="Nummerierung"/>
        <w:ind w:left="0" w:firstLine="0"/>
        <w:rPr>
          <w:b/>
          <w:lang w:val="en-US"/>
        </w:rPr>
      </w:pPr>
      <w:r w:rsidRPr="008079D6">
        <w:rPr>
          <w:b/>
          <w:lang w:val="en-US"/>
        </w:rPr>
        <w:t>3.3.</w:t>
      </w:r>
      <w:r w:rsidRPr="008079D6">
        <w:rPr>
          <w:b/>
          <w:lang w:val="en-US"/>
        </w:rPr>
        <w:tab/>
        <w:t>Packages</w:t>
      </w:r>
    </w:p>
    <w:tbl>
      <w:tblPr>
        <w:tblW w:w="0" w:type="auto"/>
        <w:tblLook w:val="04A0" w:firstRow="1" w:lastRow="0" w:firstColumn="1" w:lastColumn="0" w:noHBand="0" w:noVBand="1"/>
      </w:tblPr>
      <w:tblGrid>
        <w:gridCol w:w="10742"/>
      </w:tblGrid>
      <w:tr w:rsidR="009B00DF" w:rsidRPr="0096567B" w:rsidTr="009B4E0B">
        <w:trPr>
          <w:cantSplit/>
        </w:trPr>
        <w:tc>
          <w:tcPr>
            <w:tcW w:w="10742" w:type="dxa"/>
          </w:tcPr>
          <w:p w:rsidR="009B00DF" w:rsidRPr="0087017E" w:rsidRDefault="009B00DF" w:rsidP="0065248A">
            <w:pPr>
              <w:pStyle w:val="Nummerierung"/>
              <w:ind w:right="741"/>
              <w:rPr>
                <w:lang w:val="en-US"/>
              </w:rPr>
            </w:pPr>
            <w:r w:rsidRPr="00EB4808">
              <w:rPr>
                <w:b/>
                <w:lang w:val="en-US"/>
              </w:rPr>
              <w:t>3.3.1.</w:t>
            </w:r>
            <w:r w:rsidRPr="00EB4808">
              <w:rPr>
                <w:lang w:val="en-US"/>
              </w:rPr>
              <w:tab/>
              <w:t>Participation fee</w:t>
            </w:r>
            <w:r w:rsidR="005F1756" w:rsidRPr="00993814">
              <w:t xml:space="preserve">/s for companies taking part in this official participation of the Federal Ministry for Economic Affairs and Energy in </w:t>
            </w:r>
            <w:r w:rsidRPr="00993814">
              <w:rPr>
                <w:b/>
              </w:rPr>
              <w:t xml:space="preserve">2021 </w:t>
            </w:r>
            <w:r w:rsidRPr="00993814">
              <w:t xml:space="preserve">up to and including the </w:t>
            </w:r>
            <w:r w:rsidRPr="00993814">
              <w:rPr>
                <w:b/>
              </w:rPr>
              <w:t>4th time:</w:t>
            </w:r>
          </w:p>
          <w:p w:rsidR="00701E72" w:rsidRDefault="009B00DF" w:rsidP="00701E72">
            <w:pPr>
              <w:pBdr>
                <w:top w:val="single" w:sz="4" w:space="1" w:color="4F81BD"/>
                <w:bottom w:val="single" w:sz="4" w:space="1" w:color="4F81BD"/>
              </w:pBdr>
              <w:spacing w:before="60" w:after="60"/>
              <w:ind w:left="851" w:right="851"/>
              <w:rPr>
                <w:lang w:val="en-US"/>
              </w:rPr>
            </w:pPr>
            <w:r w:rsidRPr="00993814">
              <w:t xml:space="preserve">• 5 m² in the hall including stand construction </w:t>
            </w:r>
            <w:r w:rsidRPr="00993814">
              <w:rPr>
                <w:b/>
              </w:rPr>
              <w:t>EURO 10.350</w:t>
            </w:r>
          </w:p>
          <w:p w:rsidR="009B00DF" w:rsidRPr="00701E72" w:rsidRDefault="009B00DF" w:rsidP="00701E72">
            <w:pPr>
              <w:pBdr>
                <w:top w:val="single" w:sz="4" w:space="1" w:color="4F81BD"/>
                <w:bottom w:val="single" w:sz="4" w:space="1" w:color="4F81BD"/>
              </w:pBdr>
              <w:spacing w:before="60" w:after="60"/>
              <w:ind w:left="851" w:right="851"/>
              <w:rPr>
                <w:lang w:val="en-US"/>
              </w:rPr>
            </w:pPr>
            <w:r w:rsidRPr="00993814">
              <w:t xml:space="preserve">• 9 m² in the hall including stand construction </w:t>
            </w:r>
            <w:r w:rsidRPr="00993814">
              <w:rPr>
                <w:b/>
              </w:rPr>
              <w:t>EURO 18.630</w:t>
            </w:r>
          </w:p>
        </w:tc>
      </w:tr>
    </w:tbl>
    <w:p w:rsidR="009B00DF" w:rsidRPr="00A261D9" w:rsidRDefault="009B00DF" w:rsidP="009B00DF">
      <w:pPr>
        <w:pStyle w:val="Nummerierung"/>
        <w:rPr>
          <w:lang w:val="en-US"/>
        </w:rPr>
      </w:pPr>
    </w:p>
    <w:tbl>
      <w:tblPr>
        <w:tblW w:w="0" w:type="auto"/>
        <w:tblLook w:val="04A0" w:firstRow="1" w:lastRow="0" w:firstColumn="1" w:lastColumn="0" w:noHBand="0" w:noVBand="1"/>
      </w:tblPr>
      <w:tblGrid>
        <w:gridCol w:w="10742"/>
      </w:tblGrid>
      <w:tr w:rsidR="009B00DF" w:rsidRPr="0096567B" w:rsidTr="009B4E0B">
        <w:trPr>
          <w:cantSplit/>
        </w:trPr>
        <w:tc>
          <w:tcPr>
            <w:tcW w:w="10742" w:type="dxa"/>
          </w:tcPr>
          <w:p w:rsidR="009B00DF" w:rsidRPr="00FE0F9C" w:rsidRDefault="009B00DF" w:rsidP="0065248A">
            <w:pPr>
              <w:pStyle w:val="Nummerierung"/>
              <w:ind w:right="741"/>
              <w:rPr>
                <w:lang w:val="en-US"/>
              </w:rPr>
            </w:pPr>
            <w:r w:rsidRPr="00993814">
              <w:rPr>
                <w:b/>
              </w:rPr>
              <w:t>3.3.2.</w:t>
            </w:r>
            <w:r w:rsidRPr="00993814">
              <w:rPr>
                <w:b/>
              </w:rPr>
              <w:tab/>
            </w:r>
            <w:r w:rsidRPr="00993814">
              <w:t xml:space="preserve">Participation fee/s for companies taking part in this official participation of the Federal Ministry for Economic Affairs and Energy in </w:t>
            </w:r>
            <w:r w:rsidRPr="00993814">
              <w:rPr>
                <w:b/>
              </w:rPr>
              <w:t xml:space="preserve">2021 </w:t>
            </w:r>
            <w:r w:rsidRPr="00993814">
              <w:t xml:space="preserve">for the </w:t>
            </w:r>
            <w:r w:rsidRPr="00993814">
              <w:rPr>
                <w:b/>
              </w:rPr>
              <w:t>5th time or more</w:t>
            </w:r>
            <w:r w:rsidRPr="00993814">
              <w:t>:</w:t>
            </w:r>
          </w:p>
          <w:p w:rsidR="002A1343" w:rsidRDefault="009B00DF" w:rsidP="00D53800">
            <w:pPr>
              <w:pBdr>
                <w:top w:val="single" w:sz="4" w:space="1" w:color="4F81BD"/>
                <w:bottom w:val="single" w:sz="4" w:space="1" w:color="4F81BD"/>
              </w:pBdr>
              <w:spacing w:before="60" w:after="60"/>
              <w:ind w:left="1135" w:right="851" w:hanging="284"/>
              <w:rPr>
                <w:lang w:val="en-US"/>
              </w:rPr>
            </w:pPr>
            <w:r w:rsidRPr="00993814">
              <w:t>• not applicable</w:t>
            </w:r>
          </w:p>
        </w:tc>
      </w:tr>
    </w:tbl>
    <w:p w:rsidR="009B00DF" w:rsidRDefault="009B00DF" w:rsidP="009B00DF">
      <w:pPr>
        <w:pStyle w:val="Nummerierung"/>
        <w:ind w:left="0" w:right="851" w:firstLine="0"/>
        <w:rPr>
          <w:lang w:val="en-US"/>
        </w:rPr>
      </w:pPr>
    </w:p>
    <w:tbl>
      <w:tblPr>
        <w:tblW w:w="0" w:type="auto"/>
        <w:tblLook w:val="04A0" w:firstRow="1" w:lastRow="0" w:firstColumn="1" w:lastColumn="0" w:noHBand="0" w:noVBand="1"/>
      </w:tblPr>
      <w:tblGrid>
        <w:gridCol w:w="10742"/>
      </w:tblGrid>
      <w:tr w:rsidR="009B00DF" w:rsidRPr="0096567B" w:rsidTr="009B4E0B">
        <w:trPr>
          <w:cantSplit/>
        </w:trPr>
        <w:tc>
          <w:tcPr>
            <w:tcW w:w="10742" w:type="dxa"/>
          </w:tcPr>
          <w:p w:rsidR="009B00DF" w:rsidRPr="00B270CF" w:rsidRDefault="009B00DF" w:rsidP="0065248A">
            <w:pPr>
              <w:pStyle w:val="Nummerierung"/>
              <w:ind w:right="741"/>
              <w:rPr>
                <w:lang w:val="en-US"/>
              </w:rPr>
            </w:pPr>
            <w:r w:rsidRPr="0097719A">
              <w:rPr>
                <w:b/>
                <w:lang w:val="en-US"/>
              </w:rPr>
              <w:t>3.3.3.</w:t>
            </w:r>
            <w:r w:rsidRPr="0097719A">
              <w:rPr>
                <w:lang w:val="en-US"/>
              </w:rPr>
              <w:tab/>
              <w:t xml:space="preserve">Participation </w:t>
            </w:r>
            <w:r w:rsidR="006E2656" w:rsidRPr="00790F78">
              <w:rPr>
                <w:lang w:val="en-GB"/>
              </w:rPr>
              <w:t>fee/s for exhibitors, that cannot sign the attached declaration regarding double-funding respectively participation of the public sector (public authorities or public companies):</w:t>
            </w:r>
          </w:p>
          <w:p w:rsidR="009B00DF" w:rsidRDefault="009B00DF" w:rsidP="00D53800">
            <w:pPr>
              <w:pBdr>
                <w:top w:val="single" w:sz="4" w:space="1" w:color="4F81BD"/>
                <w:bottom w:val="single" w:sz="4" w:space="1" w:color="4F81BD"/>
              </w:pBdr>
              <w:spacing w:before="60" w:after="60"/>
              <w:ind w:left="851" w:right="851"/>
              <w:rPr>
                <w:lang w:val="en-US"/>
              </w:rPr>
            </w:pPr>
            <w:r w:rsidRPr="00BB1A2C">
              <w:rPr>
                <w:lang w:val="en-US"/>
              </w:rPr>
              <w:t xml:space="preserve">• 5 m² in the hall including stand construction </w:t>
            </w:r>
            <w:r w:rsidRPr="00993814">
              <w:rPr>
                <w:b/>
              </w:rPr>
              <w:t>EURO 10.350</w:t>
            </w:r>
          </w:p>
          <w:p w:rsidR="009B00DF" w:rsidRPr="00FB5B24" w:rsidRDefault="009B00DF" w:rsidP="00D53800">
            <w:pPr>
              <w:pBdr>
                <w:top w:val="single" w:sz="4" w:space="1" w:color="4F81BD"/>
                <w:bottom w:val="single" w:sz="4" w:space="1" w:color="4F81BD"/>
              </w:pBdr>
              <w:spacing w:before="60" w:after="60"/>
              <w:ind w:left="851" w:right="851"/>
              <w:rPr>
                <w:b/>
                <w:lang w:val="en-US"/>
              </w:rPr>
            </w:pPr>
            <w:r w:rsidRPr="00993814">
              <w:t xml:space="preserve">• 9 m² in the hall including stand construction </w:t>
            </w:r>
            <w:r w:rsidR="002F6533" w:rsidRPr="00993814">
              <w:rPr>
                <w:b/>
              </w:rPr>
              <w:t>EURO 18.630</w:t>
            </w:r>
          </w:p>
        </w:tc>
      </w:tr>
    </w:tbl>
    <w:p w:rsidR="00A04E14" w:rsidRPr="00A04E14" w:rsidRDefault="00A04E14" w:rsidP="009B00DF">
      <w:pPr>
        <w:rPr>
          <w:lang w:val="en-US"/>
        </w:rPr>
      </w:pPr>
    </w:p>
    <w:p w:rsidR="009B00DF" w:rsidRDefault="009B00DF" w:rsidP="009B00DF">
      <w:pPr>
        <w:rPr>
          <w:lang w:val="en-US"/>
        </w:rPr>
      </w:pPr>
    </w:p>
    <w:tbl>
      <w:tblPr>
        <w:tblW w:w="0" w:type="auto"/>
        <w:tblLook w:val="04A0" w:firstRow="1" w:lastRow="0" w:firstColumn="1" w:lastColumn="0" w:noHBand="0" w:noVBand="1"/>
      </w:tblPr>
      <w:tblGrid>
        <w:gridCol w:w="10742"/>
      </w:tblGrid>
      <w:tr w:rsidR="00A24074" w:rsidRPr="00A24074" w:rsidTr="008265EC">
        <w:trPr>
          <w:cantSplit/>
        </w:trPr>
        <w:tc>
          <w:tcPr>
            <w:tcW w:w="10742" w:type="dxa"/>
          </w:tcPr>
          <w:p w:rsidR="00A24074" w:rsidRDefault="000923A5" w:rsidP="00A24074">
            <w:pPr>
              <w:pStyle w:val="Nummerierung"/>
              <w:rPr>
                <w:lang w:val="en-US"/>
              </w:rPr>
            </w:pPr>
            <w:r>
              <w:rPr>
                <w:b/>
                <w:sz w:val="20"/>
                <w:lang w:val="en-US"/>
              </w:rPr>
              <w:t>4.</w:t>
            </w:r>
            <w:r>
              <w:rPr>
                <w:b/>
                <w:sz w:val="20"/>
                <w:lang w:val="en-US"/>
              </w:rPr>
              <w:tab/>
              <w:t>Mandatory Fee</w:t>
            </w:r>
            <w:r w:rsidR="008417D0" w:rsidRPr="00993814">
              <w:rPr>
                <w:b/>
                <w:sz w:val="20"/>
              </w:rPr>
              <w:t>/s</w:t>
            </w:r>
          </w:p>
          <w:p w:rsidR="00A24074" w:rsidRPr="00F8375C" w:rsidRDefault="00A24074" w:rsidP="00E848BE">
            <w:pPr>
              <w:spacing w:after="60"/>
              <w:ind w:left="851"/>
              <w:rPr>
                <w:lang w:val="en-US"/>
              </w:rPr>
            </w:pPr>
            <w:r w:rsidRPr="008752B7">
              <w:rPr>
                <w:lang w:val="en-US"/>
              </w:rPr>
              <w:t>The organizer of the trade fair charges mandatory fee/s as follows:</w:t>
            </w:r>
          </w:p>
          <w:p w:rsidR="00A24074" w:rsidRPr="00535403" w:rsidRDefault="00A24074" w:rsidP="0065248A">
            <w:pPr>
              <w:pBdr>
                <w:top w:val="single" w:sz="4" w:space="1" w:color="4F81BD"/>
                <w:bottom w:val="single" w:sz="4" w:space="1" w:color="4F81BD"/>
              </w:pBdr>
              <w:tabs>
                <w:tab w:val="clear" w:pos="851"/>
                <w:tab w:val="left" w:pos="4253"/>
              </w:tabs>
              <w:spacing w:before="60" w:after="60"/>
              <w:ind w:left="1134" w:right="741" w:hanging="283"/>
              <w:rPr>
                <w:noProof/>
              </w:rPr>
            </w:pPr>
            <w:r w:rsidRPr="00993814">
              <w:t xml:space="preserve">• </w:t>
            </w:r>
            <w:r w:rsidRPr="00993814">
              <w:rPr>
                <w:noProof/>
              </w:rPr>
              <w:t>Registration fee:</w:t>
            </w:r>
            <w:r w:rsidRPr="00993814">
              <w:rPr>
                <w:noProof/>
              </w:rPr>
              <w:tab/>
            </w:r>
            <w:r w:rsidRPr="002B308D">
              <w:rPr>
                <w:b/>
                <w:noProof/>
                <w:lang w:val="en-US"/>
              </w:rPr>
              <w:t>450 € / exhibition company</w:t>
            </w:r>
          </w:p>
          <w:p w:rsidR="00A24074" w:rsidRDefault="00A24074" w:rsidP="0065248A">
            <w:pPr>
              <w:pBdr>
                <w:top w:val="single" w:sz="4" w:space="1" w:color="4F81BD"/>
                <w:bottom w:val="single" w:sz="4" w:space="1" w:color="4F81BD"/>
              </w:pBdr>
              <w:tabs>
                <w:tab w:val="clear" w:pos="851"/>
                <w:tab w:val="left" w:pos="4253"/>
              </w:tabs>
              <w:spacing w:before="60" w:after="60"/>
              <w:ind w:left="1134" w:right="741" w:hanging="283"/>
              <w:rPr>
                <w:b/>
                <w:noProof/>
                <w:lang w:val="en-US"/>
              </w:rPr>
            </w:pPr>
          </w:p>
          <w:p w:rsidR="00A24074" w:rsidRPr="002B308D" w:rsidRDefault="00A24074" w:rsidP="0065248A">
            <w:pPr>
              <w:pBdr>
                <w:top w:val="single" w:sz="4" w:space="1" w:color="4F81BD"/>
                <w:bottom w:val="single" w:sz="4" w:space="1" w:color="4F81BD"/>
              </w:pBdr>
              <w:tabs>
                <w:tab w:val="left" w:pos="2830"/>
                <w:tab w:val="left" w:pos="5670"/>
              </w:tabs>
              <w:spacing w:before="60" w:after="60"/>
              <w:ind w:left="851" w:right="741"/>
              <w:rPr>
                <w:vanish/>
                <w:lang w:val="en-US"/>
              </w:rPr>
            </w:pPr>
            <w:r w:rsidRPr="008752B7">
              <w:rPr>
                <w:lang w:val="en-US"/>
              </w:rPr>
              <w:t>Fees are subject, where applicable, to statutory German value-added tax and to statutory foreign taxation, (e.g. VAT, sales tax etc.), payable to the implementation company by the exhibitor.</w:t>
            </w:r>
          </w:p>
          <w:p w:rsidR="00A24074" w:rsidRDefault="00A24074" w:rsidP="00A24074">
            <w:pPr>
              <w:keepNext/>
              <w:keepLines/>
              <w:tabs>
                <w:tab w:val="left" w:pos="426"/>
                <w:tab w:val="left" w:pos="6379"/>
                <w:tab w:val="left" w:pos="8364"/>
              </w:tabs>
              <w:spacing w:after="60"/>
              <w:rPr>
                <w:szCs w:val="16"/>
                <w:lang w:val="en-US"/>
              </w:rPr>
            </w:pPr>
          </w:p>
        </w:tc>
      </w:tr>
    </w:tbl>
    <w:p w:rsidR="00E848BE" w:rsidRPr="00E85544" w:rsidRDefault="00E848BE" w:rsidP="00E848BE">
      <w:pPr>
        <w:pStyle w:val="Nummerierung"/>
        <w:rPr>
          <w:lang w:val="en-US"/>
        </w:rPr>
      </w:pPr>
    </w:p>
    <w:p w:rsidR="00E848BE" w:rsidRPr="00E85544" w:rsidRDefault="00E848BE" w:rsidP="00E848BE">
      <w:pPr>
        <w:pStyle w:val="Nummerierung"/>
        <w:rPr>
          <w:lang w:val="en-US"/>
        </w:rPr>
      </w:pPr>
    </w:p>
    <w:p w:rsidR="005B07EF" w:rsidRPr="00745CAD" w:rsidRDefault="005B07EF" w:rsidP="005B07EF">
      <w:pPr>
        <w:pStyle w:val="Nummerierung"/>
        <w:rPr>
          <w:b/>
          <w:sz w:val="20"/>
          <w:lang w:val="en-US"/>
        </w:rPr>
      </w:pPr>
      <w:r w:rsidRPr="002926E4">
        <w:rPr>
          <w:b/>
          <w:sz w:val="20"/>
        </w:rPr>
        <w:t>5.</w:t>
      </w:r>
      <w:r w:rsidRPr="002926E4">
        <w:rPr>
          <w:b/>
          <w:sz w:val="20"/>
        </w:rPr>
        <w:tab/>
      </w:r>
      <w:r w:rsidR="00166D1D" w:rsidRPr="00745CAD">
        <w:rPr>
          <w:b/>
          <w:sz w:val="20"/>
          <w:lang w:val="en-US"/>
        </w:rPr>
        <w:t>Services</w:t>
      </w:r>
    </w:p>
    <w:p w:rsidR="005B07EF" w:rsidRPr="00A12631" w:rsidRDefault="005B07EF" w:rsidP="005B07EF">
      <w:pPr>
        <w:pStyle w:val="Nummerierung"/>
        <w:rPr>
          <w:lang w:val="en-US"/>
        </w:rPr>
      </w:pPr>
      <w:r w:rsidRPr="00745CAD">
        <w:rPr>
          <w:lang w:val="en-US"/>
        </w:rPr>
        <w:tab/>
      </w:r>
      <w:r w:rsidR="00A12631" w:rsidRPr="00790F78">
        <w:rPr>
          <w:lang w:val="en-GB"/>
        </w:rPr>
        <w:t>The payment of the participation fee/s according to No. 3 includes the following services:</w:t>
      </w:r>
    </w:p>
    <w:p w:rsidR="005B07EF" w:rsidRPr="00A12631" w:rsidRDefault="005B07EF" w:rsidP="005B07EF">
      <w:pPr>
        <w:pStyle w:val="Nummerierung"/>
        <w:rPr>
          <w:lang w:val="en-US"/>
        </w:rPr>
      </w:pPr>
    </w:p>
    <w:p w:rsidR="005B07EF" w:rsidRPr="00745CAD" w:rsidRDefault="005B07EF" w:rsidP="005B07EF">
      <w:pPr>
        <w:pStyle w:val="Nummerierung"/>
        <w:rPr>
          <w:b/>
          <w:lang w:val="en-US"/>
        </w:rPr>
      </w:pPr>
      <w:r w:rsidRPr="00993814">
        <w:rPr>
          <w:b/>
        </w:rPr>
        <w:t>5.1.</w:t>
      </w:r>
      <w:r w:rsidRPr="00993814">
        <w:rPr>
          <w:b/>
        </w:rPr>
        <w:tab/>
      </w:r>
      <w:r w:rsidR="00166D1D" w:rsidRPr="00745CAD">
        <w:rPr>
          <w:b/>
          <w:lang w:val="en-US"/>
        </w:rPr>
        <w:t>Company-specific services</w:t>
      </w:r>
    </w:p>
    <w:p w:rsidR="005B07EF" w:rsidRPr="00926CA5" w:rsidRDefault="005B07EF" w:rsidP="0065248A">
      <w:pPr>
        <w:pStyle w:val="Nummerierung"/>
        <w:keepLines/>
        <w:ind w:right="821"/>
        <w:rPr>
          <w:lang w:val="en-US"/>
        </w:rPr>
      </w:pPr>
      <w:r w:rsidRPr="00745CAD">
        <w:rPr>
          <w:lang w:val="en-US"/>
        </w:rPr>
        <w:tab/>
      </w:r>
      <w:r w:rsidR="00926CA5" w:rsidRPr="00745CAD">
        <w:rPr>
          <w:lang w:val="en-US"/>
        </w:rPr>
        <w:t>All materials and facilities shall be at the disposal of the exhibitor, on a rental basis, only for the duration of the event, and may in no way be damaged or modified. Damaged or modified components and devices shall be repaired or replaced at the expense of the exhibitor.</w:t>
      </w:r>
    </w:p>
    <w:p w:rsidR="0043404C" w:rsidRPr="00926CA5" w:rsidRDefault="0043404C" w:rsidP="009F1F7D">
      <w:pPr>
        <w:pStyle w:val="Nummerierung"/>
        <w:rPr>
          <w:lang w:val="en-US"/>
        </w:rPr>
      </w:pPr>
    </w:p>
    <w:p w:rsidR="0055637B" w:rsidRPr="00D01275" w:rsidRDefault="0055637B" w:rsidP="009F5F46">
      <w:pPr>
        <w:pStyle w:val="Nummerierung"/>
        <w:rPr>
          <w:b/>
          <w:lang w:val="en-US"/>
        </w:rPr>
      </w:pPr>
      <w:r w:rsidRPr="00993814">
        <w:rPr>
          <w:b/>
        </w:rPr>
        <w:t>5.1.1.</w:t>
      </w:r>
      <w:r w:rsidRPr="00993814">
        <w:rPr>
          <w:b/>
        </w:rPr>
        <w:tab/>
      </w:r>
      <w:r w:rsidR="005A6E52" w:rsidRPr="00993814">
        <w:rPr>
          <w:b/>
        </w:rPr>
        <w:t xml:space="preserve">Square meter </w:t>
      </w:r>
    </w:p>
    <w:p w:rsidR="0089158B" w:rsidRDefault="00953749" w:rsidP="0093077E">
      <w:pPr>
        <w:pStyle w:val="Nummerierung"/>
        <w:ind w:left="1702" w:right="851"/>
      </w:pPr>
      <w:r w:rsidRPr="008675AB">
        <w:t>• not applicable</w:t>
      </w:r>
    </w:p>
    <w:p w:rsidR="00D4455C" w:rsidRPr="004E41CF" w:rsidRDefault="00360360" w:rsidP="00E848BE">
      <w:pPr>
        <w:pStyle w:val="Nummerierung"/>
        <w:ind w:left="0" w:right="851" w:firstLine="0"/>
        <w:rPr>
          <w:lang w:val="en-US"/>
        </w:rPr>
      </w:pPr>
      <w:r w:rsidRPr="00993814">
        <w:rPr>
          <w:b/>
        </w:rPr>
        <w:t>5.1.2.</w:t>
      </w:r>
      <w:r w:rsidRPr="008D4897">
        <w:rPr>
          <w:b/>
          <w:lang w:val="en-US"/>
        </w:rPr>
        <w:tab/>
        <w:t>Shelves</w:t>
      </w:r>
    </w:p>
    <w:p w:rsidR="00360360" w:rsidRPr="00B01D36" w:rsidRDefault="00360360" w:rsidP="00360360">
      <w:pPr>
        <w:pStyle w:val="Nummerierung"/>
        <w:ind w:left="1702" w:right="851"/>
        <w:rPr>
          <w:lang w:val="en-US"/>
        </w:rPr>
      </w:pPr>
      <w:r w:rsidRPr="008D4897">
        <w:rPr>
          <w:lang w:val="en-US"/>
        </w:rPr>
        <w:t>• not applicable</w:t>
      </w:r>
    </w:p>
    <w:p w:rsidR="00E22F50" w:rsidRPr="00E848BE" w:rsidRDefault="00360360" w:rsidP="00E848BE">
      <w:pPr>
        <w:pStyle w:val="Nummerierung"/>
        <w:rPr>
          <w:lang w:val="en-US"/>
        </w:rPr>
      </w:pPr>
      <w:r w:rsidRPr="00993814">
        <w:rPr>
          <w:b/>
        </w:rPr>
        <w:t>5.1.3.</w:t>
      </w:r>
      <w:r w:rsidRPr="008D4897">
        <w:rPr>
          <w:b/>
          <w:lang w:val="en-US"/>
        </w:rPr>
        <w:tab/>
        <w:t>Packages</w:t>
      </w:r>
    </w:p>
    <w:tbl>
      <w:tblPr>
        <w:tblW w:w="0" w:type="auto"/>
        <w:tblLook w:val="04A0" w:firstRow="1" w:lastRow="0" w:firstColumn="1" w:lastColumn="0" w:noHBand="0" w:noVBand="1"/>
      </w:tblPr>
      <w:tblGrid>
        <w:gridCol w:w="10818"/>
      </w:tblGrid>
      <w:tr w:rsidR="00B73FAC" w:rsidRPr="0096567B" w:rsidTr="001708E7">
        <w:trPr>
          <w:cantSplit/>
        </w:trPr>
        <w:tc>
          <w:tcPr>
            <w:tcW w:w="10818" w:type="dxa"/>
          </w:tcPr>
          <w:p w:rsidR="00B73FAC" w:rsidRPr="009D23E5" w:rsidRDefault="00EF32CD" w:rsidP="00D24E14">
            <w:pPr>
              <w:pStyle w:val="Nummerierung"/>
              <w:rPr>
                <w:b/>
                <w:lang w:val="en-US"/>
              </w:rPr>
            </w:pPr>
            <w:r w:rsidRPr="00993814">
              <w:rPr>
                <w:b/>
              </w:rPr>
              <w:lastRenderedPageBreak/>
              <w:t>5.1.3.1.</w:t>
            </w:r>
            <w:r w:rsidR="00B73FAC" w:rsidRPr="00993814">
              <w:rPr>
                <w:b/>
              </w:rPr>
              <w:tab/>
            </w:r>
            <w:r w:rsidR="00005C6C" w:rsidRPr="009D23E5">
              <w:rPr>
                <w:b/>
                <w:lang w:val="en-US"/>
              </w:rPr>
              <w:t>Hall space including stand construction</w:t>
            </w:r>
          </w:p>
          <w:p w:rsidR="007708FE" w:rsidRPr="00005C6C" w:rsidRDefault="007708FE" w:rsidP="007708FE">
            <w:pPr>
              <w:pBdr>
                <w:top w:val="single" w:sz="4" w:space="1" w:color="4F81BD"/>
                <w:bottom w:val="single" w:sz="4" w:space="1" w:color="4F81BD"/>
              </w:pBdr>
              <w:ind w:left="1135" w:right="851" w:hanging="284"/>
              <w:rPr>
                <w:lang w:val="en-US"/>
              </w:rPr>
            </w:pPr>
            <w:r w:rsidRPr="00745CAD">
              <w:rPr>
                <w:lang w:val="en-US"/>
              </w:rPr>
              <w:t>• Provision of stand space in the hall with the stand design bearing "made in Germany". Exhibitors may not obscure elements of the stand design.</w:t>
            </w:r>
          </w:p>
          <w:p w:rsidR="007708FE" w:rsidRPr="00005C6C" w:rsidRDefault="007708FE" w:rsidP="007708FE">
            <w:pPr>
              <w:pBdr>
                <w:top w:val="single" w:sz="4" w:space="1" w:color="4F81BD"/>
                <w:bottom w:val="single" w:sz="4" w:space="1" w:color="4F81BD"/>
              </w:pBdr>
              <w:ind w:left="1135" w:right="851" w:hanging="284"/>
              <w:rPr>
                <w:lang w:val="en-US"/>
              </w:rPr>
            </w:pPr>
            <w:r w:rsidRPr="00745CAD">
              <w:rPr>
                <w:lang w:val="en-US"/>
              </w:rPr>
              <w:t>• Uniform stand lettering</w:t>
            </w:r>
          </w:p>
          <w:p w:rsidR="007708FE" w:rsidRPr="00005C6C" w:rsidRDefault="007708FE" w:rsidP="007708FE">
            <w:pPr>
              <w:pBdr>
                <w:top w:val="single" w:sz="4" w:space="1" w:color="4F81BD"/>
                <w:bottom w:val="single" w:sz="4" w:space="1" w:color="4F81BD"/>
              </w:pBdr>
              <w:ind w:left="1135" w:right="851" w:hanging="284"/>
              <w:rPr>
                <w:lang w:val="en-US"/>
              </w:rPr>
            </w:pPr>
            <w:r w:rsidRPr="00745CAD">
              <w:rPr>
                <w:lang w:val="en-US"/>
              </w:rPr>
              <w:t>• Back and dividing walls</w:t>
            </w:r>
          </w:p>
          <w:p w:rsidR="0024527E" w:rsidRPr="0024527E" w:rsidRDefault="0024527E" w:rsidP="0024527E">
            <w:pPr>
              <w:pBdr>
                <w:top w:val="single" w:sz="4" w:space="1" w:color="4F81BD"/>
                <w:bottom w:val="single" w:sz="4" w:space="1" w:color="4F81BD"/>
              </w:pBdr>
              <w:ind w:left="1135" w:right="851" w:hanging="284"/>
              <w:rPr>
                <w:lang w:val="en-US"/>
              </w:rPr>
            </w:pPr>
            <w:r w:rsidRPr="00993814">
              <w:t>• Furnishings:</w:t>
            </w:r>
            <w:r w:rsidRPr="00993814">
              <w:rPr>
                <w:b/>
              </w:rPr>
              <w:t xml:space="preserve"> </w:t>
            </w:r>
            <w:r w:rsidRPr="00993814">
              <w:t xml:space="preserve"> </w:t>
            </w:r>
            <w:r w:rsidRPr="00993814">
              <w:br/>
            </w:r>
            <w:r w:rsidRPr="00993814">
              <w:rPr>
                <w:b/>
              </w:rPr>
              <w:t xml:space="preserve">Package (5 m²): </w:t>
            </w:r>
            <w:r w:rsidRPr="00993814">
              <w:t xml:space="preserve">abschl. Infotheke m. Prospektablagefach, 1 Barhocker, 1 hinterleuchtete Grafikfläche mit einheitlicher Beschriftung (Druck ohne Repro-Arbeiten), 1 Tisch + 4 Stühle im Meetingbereich (Paket mit 5 m² und 9m2  Fläche nur anteilige Nutzung), 1 Papierkorb  </w:t>
            </w:r>
            <w:r w:rsidRPr="00993814">
              <w:br/>
            </w:r>
            <w:r w:rsidRPr="00993814">
              <w:rPr>
                <w:b/>
              </w:rPr>
              <w:t>Package (9 m²):</w:t>
            </w:r>
            <w:r w:rsidRPr="00993814">
              <w:t xml:space="preserve"> abschl. Infotheke m. Prospektablagefach, 1 Barhocker, 1 hinterleuchtete Grafikfläche mit einheitlicher Beschriftung (Druck ohne Repro-Arbeiten), 1 Tisch + 4 Stühle im Meetingbereich (nur anteilige Nutzung), + eigener Tisch und Stühle, Papierkorb </w:t>
            </w:r>
          </w:p>
          <w:p w:rsidR="007708FE" w:rsidRPr="00005C6C" w:rsidRDefault="007708FE" w:rsidP="007708FE">
            <w:pPr>
              <w:pBdr>
                <w:top w:val="single" w:sz="4" w:space="1" w:color="4F81BD"/>
                <w:bottom w:val="single" w:sz="4" w:space="1" w:color="4F81BD"/>
              </w:pBdr>
              <w:ind w:left="1135" w:right="851" w:hanging="284"/>
              <w:rPr>
                <w:lang w:val="en-US"/>
              </w:rPr>
            </w:pPr>
            <w:r w:rsidRPr="00745CAD">
              <w:rPr>
                <w:lang w:val="en-US"/>
              </w:rPr>
              <w:t>• Uniform floor covering on the stand</w:t>
            </w:r>
          </w:p>
          <w:p w:rsidR="007708FE" w:rsidRPr="00745CAD" w:rsidRDefault="007708FE" w:rsidP="007708FE">
            <w:pPr>
              <w:pBdr>
                <w:top w:val="single" w:sz="4" w:space="1" w:color="4F81BD"/>
                <w:bottom w:val="single" w:sz="4" w:space="1" w:color="4F81BD"/>
              </w:pBdr>
              <w:ind w:left="1135" w:right="851" w:hanging="284"/>
              <w:rPr>
                <w:lang w:val="en-US"/>
              </w:rPr>
            </w:pPr>
            <w:r w:rsidRPr="00745CAD">
              <w:rPr>
                <w:lang w:val="en-US"/>
              </w:rPr>
              <w:t>• General stand lighting</w:t>
            </w:r>
          </w:p>
          <w:p w:rsidR="007708FE" w:rsidRPr="00BC2200" w:rsidRDefault="007708FE" w:rsidP="00834696">
            <w:pPr>
              <w:pBdr>
                <w:top w:val="single" w:sz="4" w:space="1" w:color="4F81BD"/>
                <w:bottom w:val="single" w:sz="4" w:space="1" w:color="4F81BD"/>
              </w:pBdr>
              <w:ind w:left="1135" w:right="851" w:hanging="284"/>
              <w:rPr>
                <w:lang w:val="en-US"/>
              </w:rPr>
            </w:pPr>
            <w:r w:rsidRPr="00993814">
              <w:t xml:space="preserve">• Electricity: Supply voltage: • </w:t>
            </w:r>
            <w:r w:rsidRPr="00993814">
              <w:rPr>
                <w:b/>
              </w:rPr>
              <w:t xml:space="preserve">220V </w:t>
            </w:r>
            <w:r w:rsidRPr="00993814">
              <w:t xml:space="preserve">• </w:t>
            </w:r>
            <w:r w:rsidR="00834696" w:rsidRPr="00993814">
              <w:br/>
            </w:r>
            <w:r w:rsidRPr="00993814">
              <w:t>- one socket (max. capacity 2 kW; without distribution/switching panel)</w:t>
            </w:r>
            <w:r w:rsidRPr="00993814">
              <w:br/>
            </w:r>
            <w:r w:rsidRPr="00BC2200">
              <w:rPr>
                <w:lang w:val="en-GB"/>
              </w:rPr>
              <w:t>NB: Costs for additional electricity supply to the stand (for both light and power current) from the nearest distribution point will be charged to the exhibitor, and will be invoiced on the basis of the kW registered by the exhibitor. Additional light and power current usage have to be paid by the exhibitor.</w:t>
            </w:r>
          </w:p>
          <w:p w:rsidR="00B73FAC" w:rsidRPr="00360360" w:rsidRDefault="007708FE" w:rsidP="00360360">
            <w:pPr>
              <w:pBdr>
                <w:top w:val="single" w:sz="4" w:space="1" w:color="4F81BD"/>
                <w:bottom w:val="single" w:sz="4" w:space="1" w:color="4F81BD"/>
              </w:pBdr>
              <w:ind w:left="1078" w:right="851" w:hanging="227"/>
              <w:rPr>
                <w:lang w:val="en-US"/>
              </w:rPr>
            </w:pPr>
            <w:r w:rsidRPr="00745CAD">
              <w:rPr>
                <w:lang w:val="en-US"/>
              </w:rPr>
              <w:t>• Entry into the German participation directory and – if arranged – into the website of the German participation (no liability shall be accepted for incorrect entries)</w:t>
            </w:r>
          </w:p>
        </w:tc>
      </w:tr>
    </w:tbl>
    <w:p w:rsidR="00360360" w:rsidRPr="008260BD" w:rsidRDefault="00360360" w:rsidP="008260BD">
      <w:pPr>
        <w:spacing w:after="60"/>
        <w:ind w:right="851"/>
        <w:rPr>
          <w:lang w:val="en-US"/>
        </w:rPr>
      </w:pPr>
    </w:p>
    <w:tbl>
      <w:tblPr>
        <w:tblW w:w="0" w:type="auto"/>
        <w:tblLook w:val="04A0" w:firstRow="1" w:lastRow="0" w:firstColumn="1" w:lastColumn="0" w:noHBand="0" w:noVBand="1"/>
      </w:tblPr>
      <w:tblGrid>
        <w:gridCol w:w="10742"/>
      </w:tblGrid>
      <w:tr w:rsidR="00857E4D" w:rsidRPr="0096567B" w:rsidTr="007F16EC">
        <w:trPr>
          <w:cantSplit/>
        </w:trPr>
        <w:tc>
          <w:tcPr>
            <w:tcW w:w="10742" w:type="dxa"/>
          </w:tcPr>
          <w:p w:rsidR="00857E4D" w:rsidRPr="002E21AF" w:rsidRDefault="00857E4D" w:rsidP="00E848BE">
            <w:pPr>
              <w:pStyle w:val="Nummerierung"/>
              <w:ind w:left="0" w:firstLine="0"/>
              <w:rPr>
                <w:b/>
                <w:lang w:val="en-US"/>
              </w:rPr>
            </w:pPr>
            <w:r w:rsidRPr="00993814">
              <w:rPr>
                <w:b/>
              </w:rPr>
              <w:t>5.2.</w:t>
            </w:r>
            <w:r w:rsidRPr="00993814">
              <w:rPr>
                <w:b/>
              </w:rPr>
              <w:tab/>
            </w:r>
            <w:r w:rsidRPr="002E21AF">
              <w:rPr>
                <w:b/>
                <w:lang w:val="en-US"/>
              </w:rPr>
              <w:t>General services</w:t>
            </w:r>
          </w:p>
          <w:p w:rsidR="00857E4D" w:rsidRDefault="00857E4D" w:rsidP="007F16EC">
            <w:pPr>
              <w:pBdr>
                <w:top w:val="single" w:sz="4" w:space="1" w:color="4F81BD"/>
                <w:bottom w:val="single" w:sz="4" w:space="1" w:color="4F81BD"/>
              </w:pBdr>
              <w:ind w:left="1135" w:right="851" w:hanging="284"/>
              <w:rPr>
                <w:lang w:val="en-US"/>
              </w:rPr>
            </w:pPr>
            <w:r w:rsidRPr="009D23E5">
              <w:rPr>
                <w:lang w:val="en-US"/>
              </w:rPr>
              <w:t>• Technical and organisational support of exhibitors by the realisation company during preparation and realisation of the participation</w:t>
            </w:r>
          </w:p>
          <w:p w:rsidR="00857E4D" w:rsidRPr="00C71983" w:rsidRDefault="00857E4D" w:rsidP="007F16EC">
            <w:pPr>
              <w:pBdr>
                <w:top w:val="single" w:sz="4" w:space="1" w:color="4F81BD"/>
                <w:bottom w:val="single" w:sz="4" w:space="1" w:color="4F81BD"/>
              </w:pBdr>
              <w:ind w:left="1135" w:right="851" w:hanging="284"/>
              <w:rPr>
                <w:lang w:val="en-US"/>
              </w:rPr>
            </w:pPr>
            <w:r w:rsidRPr="00790F78">
              <w:rPr>
                <w:lang w:val="en-GB"/>
              </w:rPr>
              <w:t>• Setting up of an information stand with service arrangements / set-ups</w:t>
            </w:r>
          </w:p>
          <w:p w:rsidR="00857E4D" w:rsidRPr="00C71983" w:rsidRDefault="00857E4D" w:rsidP="007F16EC">
            <w:pPr>
              <w:pBdr>
                <w:top w:val="single" w:sz="4" w:space="1" w:color="4F81BD"/>
                <w:bottom w:val="single" w:sz="4" w:space="1" w:color="4F81BD"/>
              </w:pBdr>
              <w:ind w:left="1135" w:right="851" w:hanging="284"/>
              <w:rPr>
                <w:lang w:val="en-US"/>
              </w:rPr>
            </w:pPr>
            <w:r w:rsidRPr="00790F78">
              <w:rPr>
                <w:lang w:val="en-GB"/>
              </w:rPr>
              <w:t>• Entry into the website of the German participation or – if arranged – into the German participation directory (no liability shall be accepted for incorrect entries)</w:t>
            </w:r>
          </w:p>
          <w:p w:rsidR="00857E4D" w:rsidRDefault="00857E4D" w:rsidP="007F16EC">
            <w:pPr>
              <w:pBdr>
                <w:top w:val="single" w:sz="4" w:space="1" w:color="4F81BD"/>
                <w:bottom w:val="single" w:sz="4" w:space="1" w:color="4F81BD"/>
              </w:pBdr>
              <w:ind w:left="1135" w:right="851" w:hanging="284"/>
              <w:rPr>
                <w:lang w:val="en-US"/>
              </w:rPr>
            </w:pPr>
            <w:r w:rsidRPr="00790F78">
              <w:rPr>
                <w:lang w:val="en-GB"/>
              </w:rPr>
              <w:t>• Uniform setting design of the German participation in accordance with CI concept</w:t>
            </w:r>
          </w:p>
          <w:p w:rsidR="00857E4D" w:rsidRDefault="00857E4D" w:rsidP="007F16EC">
            <w:pPr>
              <w:pBdr>
                <w:top w:val="single" w:sz="4" w:space="1" w:color="4F81BD"/>
                <w:bottom w:val="single" w:sz="4" w:space="1" w:color="4F81BD"/>
              </w:pBdr>
              <w:ind w:left="1135" w:right="851" w:hanging="284"/>
              <w:rPr>
                <w:lang w:val="en-US"/>
              </w:rPr>
            </w:pPr>
            <w:r w:rsidRPr="009D23E5">
              <w:rPr>
                <w:lang w:val="en-US"/>
              </w:rPr>
              <w:t>• General lighting of the German participation</w:t>
            </w:r>
          </w:p>
          <w:p w:rsidR="00857E4D" w:rsidRDefault="00857E4D" w:rsidP="007F16EC">
            <w:pPr>
              <w:pBdr>
                <w:top w:val="single" w:sz="4" w:space="1" w:color="4F81BD"/>
                <w:bottom w:val="single" w:sz="4" w:space="1" w:color="4F81BD"/>
              </w:pBdr>
              <w:ind w:left="1135" w:right="851" w:hanging="284"/>
              <w:rPr>
                <w:lang w:val="en-GB"/>
              </w:rPr>
            </w:pPr>
            <w:r w:rsidRPr="00993814">
              <w:t>•</w:t>
            </w:r>
            <w:r w:rsidRPr="00993814">
              <w:rPr>
                <w:rFonts w:ascii="Times New Roman" w:hAnsi="Times New Roman"/>
                <w:sz w:val="24"/>
              </w:rPr>
              <w:t xml:space="preserve"> </w:t>
            </w:r>
            <w:r w:rsidRPr="00993814">
              <w:t xml:space="preserve">Daily cleaning of the aisles within the German participation in the hall (cleaning of stand space, exhibits, and exhibit holders are the responsibility of the exhibitor) </w:t>
            </w:r>
          </w:p>
          <w:p w:rsidR="00857E4D" w:rsidRPr="0088092C" w:rsidRDefault="00857E4D" w:rsidP="007F16EC">
            <w:pPr>
              <w:pBdr>
                <w:top w:val="single" w:sz="4" w:space="1" w:color="4F81BD"/>
                <w:bottom w:val="single" w:sz="4" w:space="1" w:color="4F81BD"/>
              </w:pBdr>
              <w:ind w:left="1135" w:right="851" w:hanging="284"/>
              <w:rPr>
                <w:lang w:val="en-US"/>
              </w:rPr>
            </w:pPr>
            <w:r w:rsidRPr="00993814">
              <w:t xml:space="preserve">• Accompanying measures: </w:t>
            </w:r>
            <w:r w:rsidRPr="00993814">
              <w:rPr>
                <w:b/>
              </w:rPr>
              <w:t>Internetpresentation www.german-pavilion.com and Flyer</w:t>
            </w:r>
          </w:p>
        </w:tc>
      </w:tr>
    </w:tbl>
    <w:p w:rsidR="00664A39" w:rsidRPr="00790F78" w:rsidRDefault="00664A39" w:rsidP="00664A39">
      <w:pPr>
        <w:pStyle w:val="Nummerierung"/>
        <w:ind w:left="0" w:right="851" w:firstLine="0"/>
        <w:rPr>
          <w:lang w:val="en-GB"/>
        </w:rPr>
      </w:pPr>
    </w:p>
    <w:p w:rsidR="00664A39" w:rsidRPr="00C71983" w:rsidRDefault="00664A39" w:rsidP="00664A39">
      <w:pPr>
        <w:pStyle w:val="Nummerierung"/>
        <w:rPr>
          <w:b/>
          <w:lang w:val="en-US"/>
        </w:rPr>
      </w:pPr>
      <w:r w:rsidRPr="00993814">
        <w:rPr>
          <w:b/>
          <w:lang w:val="en-GB"/>
        </w:rPr>
        <w:t>5.2.1.</w:t>
      </w:r>
      <w:r w:rsidRPr="00993814">
        <w:rPr>
          <w:b/>
          <w:lang w:val="en-GB"/>
        </w:rPr>
        <w:tab/>
        <w:t>Sub-exhibitors</w:t>
      </w:r>
    </w:p>
    <w:p w:rsidR="00664A39" w:rsidRDefault="00664A39" w:rsidP="00664A39">
      <w:pPr>
        <w:spacing w:after="60"/>
        <w:ind w:left="1135" w:right="851" w:hanging="284"/>
      </w:pPr>
      <w:r w:rsidRPr="0075489D">
        <w:t>• not applicable</w:t>
      </w:r>
    </w:p>
    <w:p w:rsidR="00857E4D" w:rsidRDefault="00857E4D" w:rsidP="00E848BE">
      <w:pPr>
        <w:pStyle w:val="Nummerierung"/>
        <w:spacing w:before="60"/>
        <w:rPr>
          <w:lang w:val="en-US"/>
        </w:rPr>
      </w:pPr>
    </w:p>
    <w:tbl>
      <w:tblPr>
        <w:tblW w:w="0" w:type="auto"/>
        <w:tblLook w:val="04A0" w:firstRow="1" w:lastRow="0" w:firstColumn="1" w:lastColumn="0" w:noHBand="0" w:noVBand="1"/>
      </w:tblPr>
      <w:tblGrid>
        <w:gridCol w:w="10742"/>
      </w:tblGrid>
      <w:tr w:rsidR="00857E4D" w:rsidTr="007F16EC">
        <w:trPr>
          <w:cantSplit/>
        </w:trPr>
        <w:tc>
          <w:tcPr>
            <w:tcW w:w="10742" w:type="dxa"/>
          </w:tcPr>
          <w:p w:rsidR="00857E4D" w:rsidRPr="002E21AF" w:rsidRDefault="00857E4D" w:rsidP="007F16EC">
            <w:pPr>
              <w:pStyle w:val="Nummerierung"/>
              <w:rPr>
                <w:b/>
                <w:lang w:val="en-US"/>
              </w:rPr>
            </w:pPr>
            <w:r w:rsidRPr="00993814">
              <w:rPr>
                <w:b/>
              </w:rPr>
              <w:t>5.3.</w:t>
            </w:r>
            <w:r w:rsidRPr="00993814">
              <w:rPr>
                <w:b/>
              </w:rPr>
              <w:tab/>
            </w:r>
            <w:r w:rsidRPr="002E21AF">
              <w:rPr>
                <w:b/>
                <w:lang w:val="en-US"/>
              </w:rPr>
              <w:t>Waiver</w:t>
            </w:r>
          </w:p>
          <w:p w:rsidR="00857E4D" w:rsidRDefault="00857E4D" w:rsidP="0065248A">
            <w:pPr>
              <w:pStyle w:val="Nummerierung"/>
              <w:ind w:right="741"/>
            </w:pPr>
            <w:r w:rsidRPr="009D23E5">
              <w:rPr>
                <w:lang w:val="en-US"/>
              </w:rPr>
              <w:tab/>
            </w:r>
            <w:r w:rsidRPr="00812132">
              <w:rPr>
                <w:lang w:val="en-GB"/>
              </w:rPr>
              <w:t>Waiving individual company specific or general services shall not constitute a claim for a reduction of the participation fee. Under no circumstances may uniform design elements be foregone</w:t>
            </w:r>
            <w:r w:rsidRPr="003A4175">
              <w:t>.</w:t>
            </w:r>
          </w:p>
        </w:tc>
      </w:tr>
    </w:tbl>
    <w:p w:rsidR="00857E4D" w:rsidRDefault="00857E4D" w:rsidP="00E848BE">
      <w:pPr>
        <w:pStyle w:val="Nummerierung"/>
        <w:spacing w:before="60"/>
        <w:ind w:left="0" w:firstLine="0"/>
      </w:pPr>
    </w:p>
    <w:p w:rsidR="00E848BE" w:rsidRPr="00E848BE" w:rsidRDefault="00E848BE" w:rsidP="00E848BE"/>
    <w:tbl>
      <w:tblPr>
        <w:tblW w:w="0" w:type="auto"/>
        <w:tblLook w:val="04A0" w:firstRow="1" w:lastRow="0" w:firstColumn="1" w:lastColumn="0" w:noHBand="0" w:noVBand="1"/>
      </w:tblPr>
      <w:tblGrid>
        <w:gridCol w:w="10742"/>
      </w:tblGrid>
      <w:tr w:rsidR="00857E4D" w:rsidRPr="0096567B" w:rsidTr="007F16EC">
        <w:trPr>
          <w:cantSplit/>
        </w:trPr>
        <w:tc>
          <w:tcPr>
            <w:tcW w:w="10742" w:type="dxa"/>
          </w:tcPr>
          <w:p w:rsidR="00857E4D" w:rsidRPr="009D23E5" w:rsidRDefault="00857E4D" w:rsidP="007F16EC">
            <w:pPr>
              <w:pStyle w:val="Nummerierung"/>
              <w:rPr>
                <w:b/>
                <w:sz w:val="20"/>
                <w:lang w:val="en-US"/>
              </w:rPr>
            </w:pPr>
            <w:r w:rsidRPr="00993814">
              <w:rPr>
                <w:b/>
                <w:sz w:val="20"/>
              </w:rPr>
              <w:t>6.</w:t>
            </w:r>
            <w:r w:rsidRPr="00993814">
              <w:rPr>
                <w:b/>
                <w:sz w:val="20"/>
              </w:rPr>
              <w:tab/>
            </w:r>
            <w:r w:rsidRPr="009D23E5">
              <w:rPr>
                <w:b/>
                <w:sz w:val="20"/>
                <w:lang w:val="en-US"/>
              </w:rPr>
              <w:t>Payment conditions</w:t>
            </w:r>
          </w:p>
          <w:p w:rsidR="00857E4D" w:rsidRPr="00C71983" w:rsidRDefault="00857E4D" w:rsidP="0065248A">
            <w:pPr>
              <w:pStyle w:val="Nummerierung"/>
              <w:ind w:right="741"/>
              <w:rPr>
                <w:lang w:val="en-US"/>
              </w:rPr>
            </w:pPr>
            <w:r w:rsidRPr="009D23E5">
              <w:rPr>
                <w:lang w:val="en-US"/>
              </w:rPr>
              <w:tab/>
            </w:r>
            <w:r w:rsidR="00664A39" w:rsidRPr="00790F78">
              <w:rPr>
                <w:lang w:val="en-GB"/>
              </w:rPr>
              <w:t xml:space="preserve">Duty to 20 % of the participation fee, based on the area size requested (according to No. 3), as well as of mandatory fees (according to No. 4), shall begin upon submission of registration in writing. Payment of this amount is due upon receipt of a corresponding invoice for payment in advance. On admission, payment shall be due of the outstanding amount, immediately upon receipt of the final invoice. </w:t>
            </w:r>
          </w:p>
        </w:tc>
      </w:tr>
    </w:tbl>
    <w:p w:rsidR="00857E4D" w:rsidRPr="00812132" w:rsidRDefault="00857E4D" w:rsidP="00857E4D">
      <w:pPr>
        <w:pStyle w:val="Nummerierung"/>
        <w:ind w:left="0" w:firstLine="0"/>
        <w:rPr>
          <w:lang w:val="en-US"/>
        </w:rPr>
      </w:pPr>
    </w:p>
    <w:p w:rsidR="00857E4D" w:rsidRPr="00812132" w:rsidRDefault="00857E4D" w:rsidP="00857E4D">
      <w:pPr>
        <w:pStyle w:val="Nummerierung"/>
        <w:rPr>
          <w:lang w:val="en-US"/>
        </w:rPr>
      </w:pPr>
    </w:p>
    <w:tbl>
      <w:tblPr>
        <w:tblW w:w="0" w:type="auto"/>
        <w:tblLook w:val="04A0" w:firstRow="1" w:lastRow="0" w:firstColumn="1" w:lastColumn="0" w:noHBand="0" w:noVBand="1"/>
      </w:tblPr>
      <w:tblGrid>
        <w:gridCol w:w="10742"/>
      </w:tblGrid>
      <w:tr w:rsidR="00857E4D" w:rsidRPr="0096567B" w:rsidTr="007F16EC">
        <w:trPr>
          <w:cantSplit/>
        </w:trPr>
        <w:tc>
          <w:tcPr>
            <w:tcW w:w="10742" w:type="dxa"/>
          </w:tcPr>
          <w:p w:rsidR="00857E4D" w:rsidRPr="009D23E5" w:rsidRDefault="00857E4D" w:rsidP="007F16EC">
            <w:pPr>
              <w:pStyle w:val="Nummerierung"/>
              <w:rPr>
                <w:b/>
                <w:sz w:val="20"/>
                <w:lang w:val="en-US"/>
              </w:rPr>
            </w:pPr>
            <w:r w:rsidRPr="00993814">
              <w:rPr>
                <w:b/>
                <w:sz w:val="20"/>
              </w:rPr>
              <w:t>7.</w:t>
            </w:r>
            <w:r w:rsidRPr="00993814">
              <w:rPr>
                <w:b/>
                <w:sz w:val="20"/>
              </w:rPr>
              <w:tab/>
            </w:r>
            <w:r w:rsidRPr="009D23E5">
              <w:rPr>
                <w:b/>
                <w:sz w:val="20"/>
                <w:lang w:val="en-US"/>
              </w:rPr>
              <w:t>Company data</w:t>
            </w:r>
          </w:p>
          <w:p w:rsidR="00857E4D" w:rsidRPr="00C71983" w:rsidRDefault="00857E4D" w:rsidP="004D7057">
            <w:pPr>
              <w:pStyle w:val="Nummerierung"/>
              <w:ind w:right="741"/>
              <w:rPr>
                <w:lang w:val="en-US"/>
              </w:rPr>
            </w:pPr>
            <w:r w:rsidRPr="009D23E5">
              <w:rPr>
                <w:lang w:val="en-US"/>
              </w:rPr>
              <w:tab/>
            </w:r>
            <w:r w:rsidR="00A03394" w:rsidRPr="00790F78">
              <w:rPr>
                <w:lang w:val="en-GB"/>
              </w:rPr>
              <w:t xml:space="preserve">The exhibitor's personal data are processed by the implementation company for the purposes of contract execution and forwarded to third parties (for example, architects, agencies, freight forwarders, trade fair organisers, etc.). The implementation company also transmits the data to federal authorities (e.g. Federal Ministry for Economic Affairs and Energy, Federal Ministry of Food and Agriculture, Federal Office for Economic Affairs and Export Control), the Association of the German Trade Fair Industry (AUMA), to AUMA in particular for information about and for the evaluation of the foreign trade fair programme also by commissioned third parties as well as to the operator of the internet portal </w:t>
            </w:r>
            <w:hyperlink r:id="rId12" w:history="1">
              <w:r w:rsidR="00A03394" w:rsidRPr="00790F78">
                <w:rPr>
                  <w:lang w:val="en-GB"/>
                </w:rPr>
                <w:t>www.german-pavilion.com</w:t>
              </w:r>
            </w:hyperlink>
            <w:r w:rsidR="00A03394" w:rsidRPr="00993814">
              <w:t>. Federal authorities may pass personal data on to members of the German Bundestag, to other public funding agencies and for statistical purposes and for evaluation to commissioned institutions. The personal data can also be passed on if required by the Bundesrechnungshof. Further information on data protection can be found on the homepage of the implementation company</w:t>
            </w:r>
            <w:r w:rsidR="00A03394" w:rsidRPr="00993814">
              <w:rPr>
                <w:rFonts w:ascii="Arial" w:hAnsi="Arial" w:cs="Arial"/>
                <w:color w:val="222222"/>
              </w:rPr>
              <w:t xml:space="preserve"> </w:t>
            </w:r>
            <w:r w:rsidR="00A03394" w:rsidRPr="00993814">
              <w:rPr>
                <w:rFonts w:cs="Tahoma"/>
                <w:noProof/>
                <w:color w:val="365F91"/>
                <w:szCs w:val="16"/>
              </w:rPr>
              <w:t>http://www.hamburg-messe.de</w:t>
            </w:r>
            <w:r w:rsidR="00A03394" w:rsidRPr="00993814">
              <w:rPr>
                <w:rFonts w:cs="Tahoma"/>
                <w:noProof/>
                <w:szCs w:val="16"/>
              </w:rPr>
              <w:t>.</w:t>
            </w:r>
          </w:p>
        </w:tc>
      </w:tr>
    </w:tbl>
    <w:p w:rsidR="005B07EF" w:rsidRPr="00812132" w:rsidRDefault="005B07EF" w:rsidP="00111EAB">
      <w:pPr>
        <w:pStyle w:val="Nummerierung"/>
        <w:ind w:left="0" w:firstLine="0"/>
        <w:rPr>
          <w:lang w:val="en-US"/>
        </w:rPr>
      </w:pPr>
    </w:p>
    <w:p w:rsidR="009F2E45" w:rsidRDefault="009F2E45" w:rsidP="009F2E45">
      <w:pPr>
        <w:pStyle w:val="Nummerierung"/>
        <w:rPr>
          <w:lang w:val="en-US"/>
        </w:rPr>
      </w:pPr>
    </w:p>
    <w:p w:rsidR="00E848BE" w:rsidRPr="00E848BE" w:rsidRDefault="00E848BE" w:rsidP="00E848BE">
      <w:pPr>
        <w:rPr>
          <w:lang w:val="en-US"/>
        </w:rPr>
      </w:pPr>
    </w:p>
    <w:p w:rsidR="005B07EF" w:rsidRPr="00812132" w:rsidRDefault="005B07EF" w:rsidP="009F2E45">
      <w:pPr>
        <w:pStyle w:val="Nummerierung"/>
        <w:rPr>
          <w:lang w:val="en-US"/>
        </w:rPr>
      </w:pPr>
    </w:p>
    <w:tbl>
      <w:tblPr>
        <w:tblW w:w="0" w:type="auto"/>
        <w:tblLayout w:type="fixed"/>
        <w:tblLook w:val="04A0" w:firstRow="1" w:lastRow="0" w:firstColumn="1" w:lastColumn="0" w:noHBand="0" w:noVBand="1"/>
      </w:tblPr>
      <w:tblGrid>
        <w:gridCol w:w="5070"/>
        <w:gridCol w:w="5748"/>
      </w:tblGrid>
      <w:tr w:rsidR="005B07EF" w:rsidRPr="00DC2E4A" w:rsidTr="000B2CDF">
        <w:trPr>
          <w:cantSplit/>
          <w:trHeight w:val="253"/>
        </w:trPr>
        <w:tc>
          <w:tcPr>
            <w:tcW w:w="5070" w:type="dxa"/>
          </w:tcPr>
          <w:p w:rsidR="005B07EF" w:rsidRPr="006E4DBD" w:rsidRDefault="005B07EF" w:rsidP="00D24E14">
            <w:pPr>
              <w:rPr>
                <w:b/>
              </w:rPr>
            </w:pPr>
            <w:r w:rsidRPr="006E4DBD">
              <w:rPr>
                <w:b/>
              </w:rPr>
              <w:t>Hamburg Messe und Congress GmbH</w:t>
            </w:r>
          </w:p>
        </w:tc>
        <w:tc>
          <w:tcPr>
            <w:tcW w:w="5748" w:type="dxa"/>
          </w:tcPr>
          <w:p w:rsidR="00AE744B" w:rsidRPr="006E4DBD" w:rsidRDefault="00AE744B" w:rsidP="000B2CDF">
            <w:pPr>
              <w:rPr>
                <w:b/>
              </w:rPr>
            </w:pPr>
            <w:r w:rsidRPr="00AE744B">
              <w:rPr>
                <w:b/>
              </w:rPr>
              <w:t>Hamburg, 28. July 2020</w:t>
            </w:r>
          </w:p>
        </w:tc>
      </w:tr>
    </w:tbl>
    <w:p w:rsidR="00E30158" w:rsidRDefault="00E30158" w:rsidP="006E4DBD">
      <w:pPr>
        <w:rPr>
          <w:b/>
        </w:rPr>
      </w:pPr>
    </w:p>
    <w:p w:rsidR="007E229C" w:rsidRDefault="007E229C" w:rsidP="006E4DBD">
      <w:pPr>
        <w:rPr>
          <w:b/>
        </w:rPr>
      </w:pPr>
    </w:p>
    <w:sectPr w:rsidR="007E229C" w:rsidSect="00A96ECB">
      <w:headerReference w:type="default" r:id="rId13"/>
      <w:footerReference w:type="default" r:id="rId14"/>
      <w:footerReference w:type="first" r:id="rId15"/>
      <w:pgSz w:w="11906" w:h="16838" w:code="9"/>
      <w:pgMar w:top="975" w:right="567" w:bottom="567" w:left="737"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10C" w:rsidRDefault="00FD710C" w:rsidP="00974DC6">
      <w:r>
        <w:separator/>
      </w:r>
    </w:p>
  </w:endnote>
  <w:endnote w:type="continuationSeparator" w:id="0">
    <w:p w:rsidR="00FD710C" w:rsidRDefault="00FD710C"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AE" w:rsidRPr="00990E75" w:rsidRDefault="00656DAE"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AMP.BMWi.G_Form.BTB.English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14 </w:t>
    </w:r>
    <w:r w:rsidR="003373A9">
      <w:rPr>
        <w:rFonts w:cs="Tahoma"/>
        <w:color w:val="000000"/>
        <w:sz w:val="12"/>
      </w:rPr>
      <w:t>•</w:t>
    </w:r>
    <w:r w:rsidR="003373A9">
      <w:rPr>
        <w:rFonts w:ascii="Arial" w:hAnsi="Arial"/>
        <w:color w:val="000000"/>
        <w:sz w:val="12"/>
      </w:rPr>
      <w:t xml:space="preserve"> </w:t>
    </w:r>
    <w:r w:rsidR="003E0659">
      <w:rPr>
        <w:rFonts w:ascii="Arial" w:hAnsi="Arial"/>
        <w:color w:val="000000"/>
        <w:sz w:val="12"/>
      </w:rPr>
      <w:t>07.2018</w:t>
    </w:r>
    <w:r>
      <w:rPr>
        <w:rFonts w:ascii="Arial" w:hAnsi="Arial"/>
        <w:color w:val="000000"/>
        <w:sz w:val="12"/>
      </w:rPr>
      <w:tab/>
      <w:t>204514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AE" w:rsidRPr="00990E75" w:rsidRDefault="00656DAE"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AMP.BMWi.G_Form.BTB.English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14 </w:t>
    </w:r>
    <w:r>
      <w:rPr>
        <w:rFonts w:cs="Tahoma"/>
        <w:color w:val="000000"/>
        <w:sz w:val="12"/>
      </w:rPr>
      <w:t>•</w:t>
    </w:r>
    <w:r>
      <w:rPr>
        <w:rFonts w:ascii="Arial" w:hAnsi="Arial"/>
        <w:color w:val="000000"/>
        <w:sz w:val="12"/>
      </w:rPr>
      <w:t xml:space="preserve"> </w:t>
    </w:r>
    <w:r w:rsidR="003E0659">
      <w:rPr>
        <w:rFonts w:ascii="Arial" w:hAnsi="Arial"/>
        <w:color w:val="000000"/>
        <w:sz w:val="12"/>
      </w:rPr>
      <w:t>07.2018</w:t>
    </w:r>
    <w:r>
      <w:rPr>
        <w:rFonts w:ascii="Arial" w:hAnsi="Arial"/>
        <w:color w:val="000000"/>
        <w:sz w:val="12"/>
      </w:rPr>
      <w:tab/>
      <w:t>204514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10C" w:rsidRDefault="00FD710C" w:rsidP="00974DC6">
      <w:r>
        <w:separator/>
      </w:r>
    </w:p>
  </w:footnote>
  <w:footnote w:type="continuationSeparator" w:id="0">
    <w:p w:rsidR="00FD710C" w:rsidRDefault="00FD710C" w:rsidP="0097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AE" w:rsidRPr="00677A03" w:rsidRDefault="00677A03" w:rsidP="009F2E45">
    <w:pPr>
      <w:tabs>
        <w:tab w:val="right" w:pos="10632"/>
      </w:tabs>
      <w:spacing w:line="180" w:lineRule="atLeast"/>
      <w:ind w:right="-567"/>
      <w:rPr>
        <w:rFonts w:cs="Tahoma"/>
        <w:b/>
        <w:sz w:val="20"/>
        <w:lang w:val="en-US"/>
      </w:rPr>
    </w:pPr>
    <w:r w:rsidRPr="000520B1">
      <w:rPr>
        <w:rFonts w:cs="Tahoma"/>
        <w:b/>
        <w:sz w:val="20"/>
        <w:lang w:val="en-US"/>
      </w:rPr>
      <w:t xml:space="preserve">Joint company exhibition of the Federal Republic of Germany </w:t>
    </w:r>
    <w:r w:rsidR="00656DAE" w:rsidRPr="00677A03">
      <w:rPr>
        <w:rFonts w:cs="Tahoma"/>
        <w:b/>
        <w:sz w:val="20"/>
        <w:lang w:val="en-US"/>
      </w:rPr>
      <w:tab/>
      <w:t xml:space="preserve">- </w:t>
    </w:r>
    <w:r w:rsidR="007305ED" w:rsidRPr="007305ED">
      <w:fldChar w:fldCharType="begin"/>
    </w:r>
    <w:r w:rsidR="006727FE" w:rsidRPr="00BE79A2">
      <w:rPr>
        <w:lang w:val="en-US"/>
      </w:rPr>
      <w:instrText xml:space="preserve"> PAGE  \* Arabic  \* MERGEFORMAT </w:instrText>
    </w:r>
    <w:r w:rsidR="007305ED" w:rsidRPr="007305ED">
      <w:fldChar w:fldCharType="separate"/>
    </w:r>
    <w:r w:rsidR="00CA6F7B" w:rsidRPr="00CA6F7B">
      <w:rPr>
        <w:rFonts w:cs="Tahoma"/>
        <w:b/>
        <w:noProof/>
        <w:sz w:val="20"/>
      </w:rPr>
      <w:t>2</w:t>
    </w:r>
    <w:r w:rsidR="007305ED" w:rsidRPr="006727FE">
      <w:rPr>
        <w:rFonts w:cs="Tahoma"/>
        <w:b/>
        <w:noProof/>
        <w:sz w:val="20"/>
      </w:rPr>
      <w:fldChar w:fldCharType="end"/>
    </w:r>
    <w:r w:rsidR="00656DAE" w:rsidRPr="00677A03">
      <w:rPr>
        <w:rFonts w:cs="Tahoma"/>
        <w:b/>
        <w:sz w:val="20"/>
        <w:lang w:val="en-US"/>
      </w:rPr>
      <w:t xml:space="preserve"> -</w:t>
    </w:r>
  </w:p>
  <w:p w:rsidR="00656DAE" w:rsidRPr="00677A03" w:rsidRDefault="00656DAE" w:rsidP="00974DC6">
    <w:pPr>
      <w:rPr>
        <w:rFonts w:cs="Tahoma"/>
        <w:sz w:val="20"/>
        <w:lang w:val="en-US"/>
      </w:rPr>
    </w:pPr>
  </w:p>
  <w:p w:rsidR="00656DAE" w:rsidRPr="003C0CF2" w:rsidRDefault="003C0CF2">
    <w:pPr>
      <w:pStyle w:val="Kopfzeile"/>
      <w:rPr>
        <w:sz w:val="20"/>
        <w:lang w:val="en-US"/>
      </w:rPr>
    </w:pPr>
    <w:r w:rsidRPr="00993814">
      <w:rPr>
        <w:rFonts w:cs="Tahoma"/>
        <w:color w:val="365F91"/>
        <w:sz w:val="20"/>
      </w:rPr>
      <w:t>ibtm Asia Pacific</w:t>
    </w:r>
    <w:r w:rsidR="003373A9" w:rsidRPr="00993814">
      <w:rPr>
        <w:rFonts w:cs="Tahoma"/>
        <w:color w:val="365F91"/>
        <w:sz w:val="20"/>
      </w:rPr>
      <w:br/>
    </w:r>
    <w:r w:rsidRPr="00616BB6">
      <w:rPr>
        <w:rFonts w:cs="Tahoma"/>
        <w:color w:val="365F91"/>
        <w:sz w:val="20"/>
        <w:lang w:val="en-US"/>
      </w:rPr>
      <w:t>13. Apr. - 14. Apr. 2021, Singapore, Singapore</w:t>
    </w:r>
  </w:p>
  <w:p w:rsidR="003C0CF2" w:rsidRPr="00677A03" w:rsidRDefault="003C0CF2">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2">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2"/>
  </w:num>
  <w:num w:numId="2">
    <w:abstractNumId w:val="9"/>
  </w:num>
  <w:num w:numId="3">
    <w:abstractNumId w:val="6"/>
  </w:num>
  <w:num w:numId="4">
    <w:abstractNumId w:val="13"/>
  </w:num>
  <w:num w:numId="5">
    <w:abstractNumId w:val="5"/>
  </w:num>
  <w:num w:numId="6">
    <w:abstractNumId w:val="8"/>
  </w:num>
  <w:num w:numId="7">
    <w:abstractNumId w:val="15"/>
  </w:num>
  <w:num w:numId="8">
    <w:abstractNumId w:val="1"/>
  </w:num>
  <w:num w:numId="9">
    <w:abstractNumId w:val="2"/>
  </w:num>
  <w:num w:numId="10">
    <w:abstractNumId w:val="10"/>
  </w:num>
  <w:num w:numId="11">
    <w:abstractNumId w:val="14"/>
  </w:num>
  <w:num w:numId="12">
    <w:abstractNumId w:val="11"/>
  </w:num>
  <w:num w:numId="13">
    <w:abstractNumId w:val="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csb4kOyWKJs1SOl+QIjWJWJT3Rc=" w:salt="F7c21AioBqM1vtbSvFQFO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A6"/>
    <w:rsid w:val="00004CC9"/>
    <w:rsid w:val="00005C6C"/>
    <w:rsid w:val="00007ECE"/>
    <w:rsid w:val="0001053D"/>
    <w:rsid w:val="00010995"/>
    <w:rsid w:val="00011C87"/>
    <w:rsid w:val="00011E02"/>
    <w:rsid w:val="0001360A"/>
    <w:rsid w:val="00013CA9"/>
    <w:rsid w:val="000144AD"/>
    <w:rsid w:val="0001478F"/>
    <w:rsid w:val="0001646C"/>
    <w:rsid w:val="00016A8F"/>
    <w:rsid w:val="00017700"/>
    <w:rsid w:val="00020C1B"/>
    <w:rsid w:val="00021804"/>
    <w:rsid w:val="00023370"/>
    <w:rsid w:val="0002359C"/>
    <w:rsid w:val="00024C93"/>
    <w:rsid w:val="00030FD4"/>
    <w:rsid w:val="000320D4"/>
    <w:rsid w:val="000334C5"/>
    <w:rsid w:val="00033725"/>
    <w:rsid w:val="00035619"/>
    <w:rsid w:val="0004073B"/>
    <w:rsid w:val="00041D3D"/>
    <w:rsid w:val="00043C89"/>
    <w:rsid w:val="00043ECB"/>
    <w:rsid w:val="000440CA"/>
    <w:rsid w:val="00045BC2"/>
    <w:rsid w:val="00046917"/>
    <w:rsid w:val="0004701A"/>
    <w:rsid w:val="000520B1"/>
    <w:rsid w:val="00052182"/>
    <w:rsid w:val="00056BF6"/>
    <w:rsid w:val="000605F6"/>
    <w:rsid w:val="00060705"/>
    <w:rsid w:val="0006443E"/>
    <w:rsid w:val="00067EFA"/>
    <w:rsid w:val="000740F0"/>
    <w:rsid w:val="0007576B"/>
    <w:rsid w:val="00076CEF"/>
    <w:rsid w:val="00081078"/>
    <w:rsid w:val="00081D92"/>
    <w:rsid w:val="00082727"/>
    <w:rsid w:val="00083608"/>
    <w:rsid w:val="000849A5"/>
    <w:rsid w:val="00087893"/>
    <w:rsid w:val="00087AAF"/>
    <w:rsid w:val="0009104B"/>
    <w:rsid w:val="000923A5"/>
    <w:rsid w:val="000929EF"/>
    <w:rsid w:val="00093E8B"/>
    <w:rsid w:val="00094981"/>
    <w:rsid w:val="00096738"/>
    <w:rsid w:val="000A2E01"/>
    <w:rsid w:val="000B2403"/>
    <w:rsid w:val="000B2CDF"/>
    <w:rsid w:val="000B5511"/>
    <w:rsid w:val="000B6334"/>
    <w:rsid w:val="000C0BD0"/>
    <w:rsid w:val="000C1F5B"/>
    <w:rsid w:val="000C2B1D"/>
    <w:rsid w:val="000C4E9C"/>
    <w:rsid w:val="000C58A3"/>
    <w:rsid w:val="000C6913"/>
    <w:rsid w:val="000C6F8A"/>
    <w:rsid w:val="000C7CC5"/>
    <w:rsid w:val="000D0A13"/>
    <w:rsid w:val="000D0D66"/>
    <w:rsid w:val="000D0FE6"/>
    <w:rsid w:val="000D41B7"/>
    <w:rsid w:val="000D631D"/>
    <w:rsid w:val="000D6E00"/>
    <w:rsid w:val="000E145A"/>
    <w:rsid w:val="000E215C"/>
    <w:rsid w:val="000E45BC"/>
    <w:rsid w:val="000E4BA7"/>
    <w:rsid w:val="000E5E75"/>
    <w:rsid w:val="000E602F"/>
    <w:rsid w:val="000E6204"/>
    <w:rsid w:val="000F607E"/>
    <w:rsid w:val="000F6C31"/>
    <w:rsid w:val="00101EE2"/>
    <w:rsid w:val="00102DC5"/>
    <w:rsid w:val="00102DD5"/>
    <w:rsid w:val="00104012"/>
    <w:rsid w:val="001048A3"/>
    <w:rsid w:val="00107714"/>
    <w:rsid w:val="00107C3B"/>
    <w:rsid w:val="00111D48"/>
    <w:rsid w:val="00111EAB"/>
    <w:rsid w:val="001136B8"/>
    <w:rsid w:val="00114656"/>
    <w:rsid w:val="001149DD"/>
    <w:rsid w:val="00114BC4"/>
    <w:rsid w:val="0011593E"/>
    <w:rsid w:val="00117803"/>
    <w:rsid w:val="0012279F"/>
    <w:rsid w:val="00123713"/>
    <w:rsid w:val="0012793A"/>
    <w:rsid w:val="00127C62"/>
    <w:rsid w:val="00130090"/>
    <w:rsid w:val="00130E93"/>
    <w:rsid w:val="001315C3"/>
    <w:rsid w:val="00131676"/>
    <w:rsid w:val="0013559B"/>
    <w:rsid w:val="00141E24"/>
    <w:rsid w:val="00141FEC"/>
    <w:rsid w:val="001425DC"/>
    <w:rsid w:val="001426D1"/>
    <w:rsid w:val="00146D03"/>
    <w:rsid w:val="00146DD6"/>
    <w:rsid w:val="001478F3"/>
    <w:rsid w:val="001506D3"/>
    <w:rsid w:val="0015637A"/>
    <w:rsid w:val="0016065C"/>
    <w:rsid w:val="001614A3"/>
    <w:rsid w:val="001626F5"/>
    <w:rsid w:val="00163401"/>
    <w:rsid w:val="00166D1D"/>
    <w:rsid w:val="001708E7"/>
    <w:rsid w:val="001710DE"/>
    <w:rsid w:val="001711B4"/>
    <w:rsid w:val="0017661F"/>
    <w:rsid w:val="00176C8B"/>
    <w:rsid w:val="00183B48"/>
    <w:rsid w:val="00184493"/>
    <w:rsid w:val="0018654B"/>
    <w:rsid w:val="0019528D"/>
    <w:rsid w:val="001964BD"/>
    <w:rsid w:val="001A6074"/>
    <w:rsid w:val="001A62D3"/>
    <w:rsid w:val="001A646E"/>
    <w:rsid w:val="001A7AB2"/>
    <w:rsid w:val="001B31E8"/>
    <w:rsid w:val="001B7277"/>
    <w:rsid w:val="001B794E"/>
    <w:rsid w:val="001C6F20"/>
    <w:rsid w:val="001D1B47"/>
    <w:rsid w:val="001E0BB7"/>
    <w:rsid w:val="001E130D"/>
    <w:rsid w:val="001E2E75"/>
    <w:rsid w:val="001E2F67"/>
    <w:rsid w:val="001E3EC8"/>
    <w:rsid w:val="001E4F36"/>
    <w:rsid w:val="001E565F"/>
    <w:rsid w:val="001E5917"/>
    <w:rsid w:val="001E699B"/>
    <w:rsid w:val="001E795E"/>
    <w:rsid w:val="001E7D95"/>
    <w:rsid w:val="001F059C"/>
    <w:rsid w:val="001F2230"/>
    <w:rsid w:val="001F425E"/>
    <w:rsid w:val="001F55E5"/>
    <w:rsid w:val="001F5AFE"/>
    <w:rsid w:val="001F7685"/>
    <w:rsid w:val="001F77EE"/>
    <w:rsid w:val="001F7949"/>
    <w:rsid w:val="00201E49"/>
    <w:rsid w:val="0020216C"/>
    <w:rsid w:val="00203AA3"/>
    <w:rsid w:val="00205C04"/>
    <w:rsid w:val="00206FCC"/>
    <w:rsid w:val="0021203E"/>
    <w:rsid w:val="00212E65"/>
    <w:rsid w:val="00213BAA"/>
    <w:rsid w:val="00214206"/>
    <w:rsid w:val="0021678F"/>
    <w:rsid w:val="00216D23"/>
    <w:rsid w:val="002170F2"/>
    <w:rsid w:val="002232C0"/>
    <w:rsid w:val="002265CC"/>
    <w:rsid w:val="00226C0A"/>
    <w:rsid w:val="002273E4"/>
    <w:rsid w:val="00227E79"/>
    <w:rsid w:val="00236A53"/>
    <w:rsid w:val="00236FE7"/>
    <w:rsid w:val="002373C7"/>
    <w:rsid w:val="0023789E"/>
    <w:rsid w:val="00237AC3"/>
    <w:rsid w:val="0024070D"/>
    <w:rsid w:val="0024527E"/>
    <w:rsid w:val="002475C0"/>
    <w:rsid w:val="00253C48"/>
    <w:rsid w:val="00254D63"/>
    <w:rsid w:val="002570F6"/>
    <w:rsid w:val="0026669B"/>
    <w:rsid w:val="00266DEC"/>
    <w:rsid w:val="00270258"/>
    <w:rsid w:val="00272156"/>
    <w:rsid w:val="00272175"/>
    <w:rsid w:val="002776CE"/>
    <w:rsid w:val="0028132F"/>
    <w:rsid w:val="00282551"/>
    <w:rsid w:val="00283958"/>
    <w:rsid w:val="002863CC"/>
    <w:rsid w:val="00287EF6"/>
    <w:rsid w:val="00291A26"/>
    <w:rsid w:val="00292462"/>
    <w:rsid w:val="002926E4"/>
    <w:rsid w:val="00293C02"/>
    <w:rsid w:val="00293F10"/>
    <w:rsid w:val="00296698"/>
    <w:rsid w:val="002A1343"/>
    <w:rsid w:val="002A3F66"/>
    <w:rsid w:val="002A4209"/>
    <w:rsid w:val="002A5EFA"/>
    <w:rsid w:val="002B36F4"/>
    <w:rsid w:val="002B42DF"/>
    <w:rsid w:val="002B4F5E"/>
    <w:rsid w:val="002B5D20"/>
    <w:rsid w:val="002C0656"/>
    <w:rsid w:val="002C07B7"/>
    <w:rsid w:val="002C18A0"/>
    <w:rsid w:val="002C2ED9"/>
    <w:rsid w:val="002C3397"/>
    <w:rsid w:val="002C37E1"/>
    <w:rsid w:val="002C6F1D"/>
    <w:rsid w:val="002C74E6"/>
    <w:rsid w:val="002C7D5B"/>
    <w:rsid w:val="002D1FCF"/>
    <w:rsid w:val="002D4259"/>
    <w:rsid w:val="002D4420"/>
    <w:rsid w:val="002E21AF"/>
    <w:rsid w:val="002E5AA4"/>
    <w:rsid w:val="002E6470"/>
    <w:rsid w:val="002E7238"/>
    <w:rsid w:val="002F0FA2"/>
    <w:rsid w:val="002F1786"/>
    <w:rsid w:val="002F2A5A"/>
    <w:rsid w:val="002F3AEE"/>
    <w:rsid w:val="002F42BE"/>
    <w:rsid w:val="002F56F6"/>
    <w:rsid w:val="002F6533"/>
    <w:rsid w:val="002F73A0"/>
    <w:rsid w:val="00300857"/>
    <w:rsid w:val="003036E0"/>
    <w:rsid w:val="00305186"/>
    <w:rsid w:val="00306598"/>
    <w:rsid w:val="0030730D"/>
    <w:rsid w:val="00307BED"/>
    <w:rsid w:val="00312080"/>
    <w:rsid w:val="003126A5"/>
    <w:rsid w:val="0031357E"/>
    <w:rsid w:val="00316C4B"/>
    <w:rsid w:val="00323EF3"/>
    <w:rsid w:val="00327619"/>
    <w:rsid w:val="00332C5E"/>
    <w:rsid w:val="00332E61"/>
    <w:rsid w:val="0033607C"/>
    <w:rsid w:val="003373A9"/>
    <w:rsid w:val="0033799F"/>
    <w:rsid w:val="00340005"/>
    <w:rsid w:val="00343061"/>
    <w:rsid w:val="00344472"/>
    <w:rsid w:val="003452D7"/>
    <w:rsid w:val="00345E84"/>
    <w:rsid w:val="003520AA"/>
    <w:rsid w:val="00354999"/>
    <w:rsid w:val="00354B3D"/>
    <w:rsid w:val="00354BCE"/>
    <w:rsid w:val="003557F9"/>
    <w:rsid w:val="00357AB5"/>
    <w:rsid w:val="00357E8E"/>
    <w:rsid w:val="00360360"/>
    <w:rsid w:val="00360A86"/>
    <w:rsid w:val="00361F0C"/>
    <w:rsid w:val="003624C4"/>
    <w:rsid w:val="003629B9"/>
    <w:rsid w:val="003630BC"/>
    <w:rsid w:val="0036344B"/>
    <w:rsid w:val="00363607"/>
    <w:rsid w:val="003642D6"/>
    <w:rsid w:val="00364491"/>
    <w:rsid w:val="00365CA1"/>
    <w:rsid w:val="00366F16"/>
    <w:rsid w:val="00367330"/>
    <w:rsid w:val="003703AC"/>
    <w:rsid w:val="003756D9"/>
    <w:rsid w:val="0037650A"/>
    <w:rsid w:val="00385F51"/>
    <w:rsid w:val="00386393"/>
    <w:rsid w:val="003902C1"/>
    <w:rsid w:val="003964A1"/>
    <w:rsid w:val="003973F6"/>
    <w:rsid w:val="003A064D"/>
    <w:rsid w:val="003A0AEE"/>
    <w:rsid w:val="003A40BB"/>
    <w:rsid w:val="003A4175"/>
    <w:rsid w:val="003A46E0"/>
    <w:rsid w:val="003A5D3F"/>
    <w:rsid w:val="003A6ED8"/>
    <w:rsid w:val="003B068D"/>
    <w:rsid w:val="003B1508"/>
    <w:rsid w:val="003B185B"/>
    <w:rsid w:val="003B50F8"/>
    <w:rsid w:val="003B5BEC"/>
    <w:rsid w:val="003C02F3"/>
    <w:rsid w:val="003C0CF2"/>
    <w:rsid w:val="003C2854"/>
    <w:rsid w:val="003C292A"/>
    <w:rsid w:val="003C3B6E"/>
    <w:rsid w:val="003C7A43"/>
    <w:rsid w:val="003D0FEC"/>
    <w:rsid w:val="003D3338"/>
    <w:rsid w:val="003D4227"/>
    <w:rsid w:val="003E0659"/>
    <w:rsid w:val="003E3FF3"/>
    <w:rsid w:val="003E4CD0"/>
    <w:rsid w:val="003E581F"/>
    <w:rsid w:val="003F3B3C"/>
    <w:rsid w:val="003F4AA4"/>
    <w:rsid w:val="0040353F"/>
    <w:rsid w:val="004038E4"/>
    <w:rsid w:val="00406B60"/>
    <w:rsid w:val="00411B3E"/>
    <w:rsid w:val="00413F96"/>
    <w:rsid w:val="004161B8"/>
    <w:rsid w:val="00416882"/>
    <w:rsid w:val="00417191"/>
    <w:rsid w:val="004176C0"/>
    <w:rsid w:val="00417CAE"/>
    <w:rsid w:val="00421528"/>
    <w:rsid w:val="00421671"/>
    <w:rsid w:val="00422580"/>
    <w:rsid w:val="0042259E"/>
    <w:rsid w:val="00423B1B"/>
    <w:rsid w:val="00423E59"/>
    <w:rsid w:val="00424114"/>
    <w:rsid w:val="00426B7A"/>
    <w:rsid w:val="00430301"/>
    <w:rsid w:val="004337F8"/>
    <w:rsid w:val="0043404C"/>
    <w:rsid w:val="00434667"/>
    <w:rsid w:val="00434C8C"/>
    <w:rsid w:val="00436387"/>
    <w:rsid w:val="00437D3D"/>
    <w:rsid w:val="00440580"/>
    <w:rsid w:val="0044119B"/>
    <w:rsid w:val="00442E3E"/>
    <w:rsid w:val="00444B7A"/>
    <w:rsid w:val="00444EE5"/>
    <w:rsid w:val="00445620"/>
    <w:rsid w:val="00446A3C"/>
    <w:rsid w:val="0045001C"/>
    <w:rsid w:val="00451156"/>
    <w:rsid w:val="00451CA3"/>
    <w:rsid w:val="00451EAF"/>
    <w:rsid w:val="00452889"/>
    <w:rsid w:val="00453297"/>
    <w:rsid w:val="00453DF1"/>
    <w:rsid w:val="00456DEF"/>
    <w:rsid w:val="0046436D"/>
    <w:rsid w:val="004672BA"/>
    <w:rsid w:val="00471866"/>
    <w:rsid w:val="00472626"/>
    <w:rsid w:val="00472C21"/>
    <w:rsid w:val="004771BB"/>
    <w:rsid w:val="004802ED"/>
    <w:rsid w:val="004810BD"/>
    <w:rsid w:val="00483112"/>
    <w:rsid w:val="0048360D"/>
    <w:rsid w:val="00484194"/>
    <w:rsid w:val="00485033"/>
    <w:rsid w:val="004905D0"/>
    <w:rsid w:val="00495660"/>
    <w:rsid w:val="00496858"/>
    <w:rsid w:val="004A2652"/>
    <w:rsid w:val="004A4602"/>
    <w:rsid w:val="004A5938"/>
    <w:rsid w:val="004A5D5C"/>
    <w:rsid w:val="004A7017"/>
    <w:rsid w:val="004B1D05"/>
    <w:rsid w:val="004B47E0"/>
    <w:rsid w:val="004B58C6"/>
    <w:rsid w:val="004C02E4"/>
    <w:rsid w:val="004C07B9"/>
    <w:rsid w:val="004C1A6E"/>
    <w:rsid w:val="004C313F"/>
    <w:rsid w:val="004C4DAF"/>
    <w:rsid w:val="004C6BAF"/>
    <w:rsid w:val="004D34C7"/>
    <w:rsid w:val="004D3CB2"/>
    <w:rsid w:val="004D5D27"/>
    <w:rsid w:val="004D6CCF"/>
    <w:rsid w:val="004D7057"/>
    <w:rsid w:val="004D734A"/>
    <w:rsid w:val="004D7E21"/>
    <w:rsid w:val="004E0854"/>
    <w:rsid w:val="004E137F"/>
    <w:rsid w:val="004E343B"/>
    <w:rsid w:val="004E41CF"/>
    <w:rsid w:val="004E46C4"/>
    <w:rsid w:val="004E52C1"/>
    <w:rsid w:val="004E6BD1"/>
    <w:rsid w:val="004F1024"/>
    <w:rsid w:val="004F3983"/>
    <w:rsid w:val="004F5DC3"/>
    <w:rsid w:val="00500233"/>
    <w:rsid w:val="00500348"/>
    <w:rsid w:val="00503345"/>
    <w:rsid w:val="0050500C"/>
    <w:rsid w:val="00505F54"/>
    <w:rsid w:val="00507603"/>
    <w:rsid w:val="00512872"/>
    <w:rsid w:val="00512CFA"/>
    <w:rsid w:val="005137E6"/>
    <w:rsid w:val="00513AFE"/>
    <w:rsid w:val="005145FC"/>
    <w:rsid w:val="0051517A"/>
    <w:rsid w:val="00515C6D"/>
    <w:rsid w:val="005178D4"/>
    <w:rsid w:val="00517F32"/>
    <w:rsid w:val="00523738"/>
    <w:rsid w:val="00525E1B"/>
    <w:rsid w:val="005271D0"/>
    <w:rsid w:val="00530181"/>
    <w:rsid w:val="00531953"/>
    <w:rsid w:val="0053380F"/>
    <w:rsid w:val="00534889"/>
    <w:rsid w:val="00535029"/>
    <w:rsid w:val="00540273"/>
    <w:rsid w:val="0055041A"/>
    <w:rsid w:val="00551251"/>
    <w:rsid w:val="00551BE9"/>
    <w:rsid w:val="00552D0D"/>
    <w:rsid w:val="00555201"/>
    <w:rsid w:val="00555515"/>
    <w:rsid w:val="0055637B"/>
    <w:rsid w:val="005564EA"/>
    <w:rsid w:val="005607E6"/>
    <w:rsid w:val="0056164F"/>
    <w:rsid w:val="00565FB8"/>
    <w:rsid w:val="0057013F"/>
    <w:rsid w:val="005711F7"/>
    <w:rsid w:val="00571482"/>
    <w:rsid w:val="005729C7"/>
    <w:rsid w:val="00575C2A"/>
    <w:rsid w:val="00576C52"/>
    <w:rsid w:val="0058085B"/>
    <w:rsid w:val="005819BA"/>
    <w:rsid w:val="00585775"/>
    <w:rsid w:val="005860BC"/>
    <w:rsid w:val="005925A1"/>
    <w:rsid w:val="00593A56"/>
    <w:rsid w:val="00595405"/>
    <w:rsid w:val="00595FFD"/>
    <w:rsid w:val="005970AC"/>
    <w:rsid w:val="005A0FA9"/>
    <w:rsid w:val="005A1BA9"/>
    <w:rsid w:val="005A3B2A"/>
    <w:rsid w:val="005A3E68"/>
    <w:rsid w:val="005A4726"/>
    <w:rsid w:val="005A4A8A"/>
    <w:rsid w:val="005A5948"/>
    <w:rsid w:val="005A6E52"/>
    <w:rsid w:val="005A7FAE"/>
    <w:rsid w:val="005B0058"/>
    <w:rsid w:val="005B01E6"/>
    <w:rsid w:val="005B07EF"/>
    <w:rsid w:val="005B30F0"/>
    <w:rsid w:val="005B7AC4"/>
    <w:rsid w:val="005C3422"/>
    <w:rsid w:val="005C6B40"/>
    <w:rsid w:val="005C7196"/>
    <w:rsid w:val="005D1984"/>
    <w:rsid w:val="005D25DD"/>
    <w:rsid w:val="005D2B7B"/>
    <w:rsid w:val="005D2C88"/>
    <w:rsid w:val="005D46D3"/>
    <w:rsid w:val="005D6D58"/>
    <w:rsid w:val="005E12E0"/>
    <w:rsid w:val="005E246C"/>
    <w:rsid w:val="005E3ACE"/>
    <w:rsid w:val="005E40EF"/>
    <w:rsid w:val="005E5D7B"/>
    <w:rsid w:val="005E72EB"/>
    <w:rsid w:val="005F11E4"/>
    <w:rsid w:val="005F15E7"/>
    <w:rsid w:val="005F1756"/>
    <w:rsid w:val="005F61D4"/>
    <w:rsid w:val="005F7C51"/>
    <w:rsid w:val="00600E55"/>
    <w:rsid w:val="00601BB9"/>
    <w:rsid w:val="00601DAE"/>
    <w:rsid w:val="00601FA0"/>
    <w:rsid w:val="006030F3"/>
    <w:rsid w:val="00604334"/>
    <w:rsid w:val="00606CA3"/>
    <w:rsid w:val="006126B6"/>
    <w:rsid w:val="00613FBA"/>
    <w:rsid w:val="006142C1"/>
    <w:rsid w:val="00615697"/>
    <w:rsid w:val="00616BB6"/>
    <w:rsid w:val="00617B55"/>
    <w:rsid w:val="00623F6F"/>
    <w:rsid w:val="00624895"/>
    <w:rsid w:val="00625923"/>
    <w:rsid w:val="006275B2"/>
    <w:rsid w:val="006279AF"/>
    <w:rsid w:val="00631C1E"/>
    <w:rsid w:val="006324F2"/>
    <w:rsid w:val="00632B57"/>
    <w:rsid w:val="006335B7"/>
    <w:rsid w:val="00633F6C"/>
    <w:rsid w:val="00636AAF"/>
    <w:rsid w:val="00637EFE"/>
    <w:rsid w:val="0064239D"/>
    <w:rsid w:val="00645802"/>
    <w:rsid w:val="0065248A"/>
    <w:rsid w:val="0065480C"/>
    <w:rsid w:val="00656DAE"/>
    <w:rsid w:val="00664A39"/>
    <w:rsid w:val="00666413"/>
    <w:rsid w:val="00670008"/>
    <w:rsid w:val="0067135A"/>
    <w:rsid w:val="00671DC1"/>
    <w:rsid w:val="006727FE"/>
    <w:rsid w:val="006733F0"/>
    <w:rsid w:val="00676763"/>
    <w:rsid w:val="00677A03"/>
    <w:rsid w:val="00681149"/>
    <w:rsid w:val="00681F7D"/>
    <w:rsid w:val="00687E7D"/>
    <w:rsid w:val="00691B00"/>
    <w:rsid w:val="00691E9F"/>
    <w:rsid w:val="006925EA"/>
    <w:rsid w:val="00693CDA"/>
    <w:rsid w:val="00695F1F"/>
    <w:rsid w:val="006964EA"/>
    <w:rsid w:val="006A1178"/>
    <w:rsid w:val="006A3FD1"/>
    <w:rsid w:val="006A6508"/>
    <w:rsid w:val="006A66D6"/>
    <w:rsid w:val="006A75B6"/>
    <w:rsid w:val="006B0CBE"/>
    <w:rsid w:val="006B1E7F"/>
    <w:rsid w:val="006B66BB"/>
    <w:rsid w:val="006B7A67"/>
    <w:rsid w:val="006C054B"/>
    <w:rsid w:val="006C1A93"/>
    <w:rsid w:val="006C21EF"/>
    <w:rsid w:val="006C355D"/>
    <w:rsid w:val="006C392F"/>
    <w:rsid w:val="006C6679"/>
    <w:rsid w:val="006C6F7B"/>
    <w:rsid w:val="006D21E0"/>
    <w:rsid w:val="006D2D13"/>
    <w:rsid w:val="006D2EDD"/>
    <w:rsid w:val="006D7173"/>
    <w:rsid w:val="006E2656"/>
    <w:rsid w:val="006E28A0"/>
    <w:rsid w:val="006E3853"/>
    <w:rsid w:val="006E3EE0"/>
    <w:rsid w:val="006E4DBD"/>
    <w:rsid w:val="006E7E50"/>
    <w:rsid w:val="006F0231"/>
    <w:rsid w:val="006F5A5E"/>
    <w:rsid w:val="006F70FE"/>
    <w:rsid w:val="006F712F"/>
    <w:rsid w:val="007017AC"/>
    <w:rsid w:val="00701E72"/>
    <w:rsid w:val="00702010"/>
    <w:rsid w:val="0070521F"/>
    <w:rsid w:val="00707AB6"/>
    <w:rsid w:val="00707FFD"/>
    <w:rsid w:val="0071056F"/>
    <w:rsid w:val="0071090B"/>
    <w:rsid w:val="00711B61"/>
    <w:rsid w:val="00715FDA"/>
    <w:rsid w:val="007227EF"/>
    <w:rsid w:val="00722F81"/>
    <w:rsid w:val="0072369E"/>
    <w:rsid w:val="00724D3F"/>
    <w:rsid w:val="00725ACD"/>
    <w:rsid w:val="00725EDA"/>
    <w:rsid w:val="007305ED"/>
    <w:rsid w:val="00731F0E"/>
    <w:rsid w:val="00736088"/>
    <w:rsid w:val="0073609A"/>
    <w:rsid w:val="007371FA"/>
    <w:rsid w:val="0074172F"/>
    <w:rsid w:val="00742165"/>
    <w:rsid w:val="007449F4"/>
    <w:rsid w:val="00745CAD"/>
    <w:rsid w:val="0074672B"/>
    <w:rsid w:val="00750341"/>
    <w:rsid w:val="00750459"/>
    <w:rsid w:val="0075140E"/>
    <w:rsid w:val="0075152B"/>
    <w:rsid w:val="00751A3F"/>
    <w:rsid w:val="0075489D"/>
    <w:rsid w:val="00756333"/>
    <w:rsid w:val="0075793E"/>
    <w:rsid w:val="00757F65"/>
    <w:rsid w:val="007603BB"/>
    <w:rsid w:val="00760599"/>
    <w:rsid w:val="00762B73"/>
    <w:rsid w:val="00763688"/>
    <w:rsid w:val="0076647E"/>
    <w:rsid w:val="00767E1F"/>
    <w:rsid w:val="007708FE"/>
    <w:rsid w:val="00774DDD"/>
    <w:rsid w:val="00776467"/>
    <w:rsid w:val="00776680"/>
    <w:rsid w:val="00777932"/>
    <w:rsid w:val="00781072"/>
    <w:rsid w:val="00784459"/>
    <w:rsid w:val="00784E1E"/>
    <w:rsid w:val="00786BD4"/>
    <w:rsid w:val="007870C5"/>
    <w:rsid w:val="00787164"/>
    <w:rsid w:val="00790F78"/>
    <w:rsid w:val="00792796"/>
    <w:rsid w:val="007944EA"/>
    <w:rsid w:val="00797C2D"/>
    <w:rsid w:val="007A1019"/>
    <w:rsid w:val="007A2765"/>
    <w:rsid w:val="007A321C"/>
    <w:rsid w:val="007A3779"/>
    <w:rsid w:val="007A4AFC"/>
    <w:rsid w:val="007A5842"/>
    <w:rsid w:val="007A70B7"/>
    <w:rsid w:val="007A7FE8"/>
    <w:rsid w:val="007B5BBF"/>
    <w:rsid w:val="007C505C"/>
    <w:rsid w:val="007C525B"/>
    <w:rsid w:val="007C5BFE"/>
    <w:rsid w:val="007C6EC8"/>
    <w:rsid w:val="007D31BD"/>
    <w:rsid w:val="007D5848"/>
    <w:rsid w:val="007D5A54"/>
    <w:rsid w:val="007E01AD"/>
    <w:rsid w:val="007E1B68"/>
    <w:rsid w:val="007E21F9"/>
    <w:rsid w:val="007E229C"/>
    <w:rsid w:val="007E2473"/>
    <w:rsid w:val="007F1253"/>
    <w:rsid w:val="007F2F68"/>
    <w:rsid w:val="007F308A"/>
    <w:rsid w:val="007F3615"/>
    <w:rsid w:val="007F39B0"/>
    <w:rsid w:val="007F4D39"/>
    <w:rsid w:val="007F5782"/>
    <w:rsid w:val="007F5D43"/>
    <w:rsid w:val="007F61E9"/>
    <w:rsid w:val="00802409"/>
    <w:rsid w:val="008039A9"/>
    <w:rsid w:val="008070BB"/>
    <w:rsid w:val="008079D6"/>
    <w:rsid w:val="008100C4"/>
    <w:rsid w:val="00812132"/>
    <w:rsid w:val="00812D8A"/>
    <w:rsid w:val="00815282"/>
    <w:rsid w:val="00822520"/>
    <w:rsid w:val="00822DAC"/>
    <w:rsid w:val="00823411"/>
    <w:rsid w:val="008234CC"/>
    <w:rsid w:val="008260BD"/>
    <w:rsid w:val="00826872"/>
    <w:rsid w:val="0082700F"/>
    <w:rsid w:val="00827794"/>
    <w:rsid w:val="00831608"/>
    <w:rsid w:val="00831615"/>
    <w:rsid w:val="00833384"/>
    <w:rsid w:val="008339EA"/>
    <w:rsid w:val="00833E81"/>
    <w:rsid w:val="00834696"/>
    <w:rsid w:val="008351DD"/>
    <w:rsid w:val="0084083E"/>
    <w:rsid w:val="0084171D"/>
    <w:rsid w:val="008417D0"/>
    <w:rsid w:val="00844686"/>
    <w:rsid w:val="00845580"/>
    <w:rsid w:val="00851574"/>
    <w:rsid w:val="008554CE"/>
    <w:rsid w:val="00857500"/>
    <w:rsid w:val="00857E4A"/>
    <w:rsid w:val="00857E4D"/>
    <w:rsid w:val="00864FA4"/>
    <w:rsid w:val="008669C6"/>
    <w:rsid w:val="00867D5F"/>
    <w:rsid w:val="0087017E"/>
    <w:rsid w:val="008714B9"/>
    <w:rsid w:val="00871D0E"/>
    <w:rsid w:val="00872C5C"/>
    <w:rsid w:val="00875B5D"/>
    <w:rsid w:val="0087741C"/>
    <w:rsid w:val="008779F4"/>
    <w:rsid w:val="008807D9"/>
    <w:rsid w:val="008808B8"/>
    <w:rsid w:val="0088092C"/>
    <w:rsid w:val="008872F0"/>
    <w:rsid w:val="008873EE"/>
    <w:rsid w:val="0089158B"/>
    <w:rsid w:val="00892EE1"/>
    <w:rsid w:val="00893175"/>
    <w:rsid w:val="00897591"/>
    <w:rsid w:val="008976DD"/>
    <w:rsid w:val="008A00E7"/>
    <w:rsid w:val="008A0998"/>
    <w:rsid w:val="008A0E8E"/>
    <w:rsid w:val="008A1595"/>
    <w:rsid w:val="008A17AA"/>
    <w:rsid w:val="008A261E"/>
    <w:rsid w:val="008A41D9"/>
    <w:rsid w:val="008A495F"/>
    <w:rsid w:val="008A7946"/>
    <w:rsid w:val="008B005C"/>
    <w:rsid w:val="008B0461"/>
    <w:rsid w:val="008B0F5D"/>
    <w:rsid w:val="008B32C7"/>
    <w:rsid w:val="008B4370"/>
    <w:rsid w:val="008B7C5A"/>
    <w:rsid w:val="008C14A1"/>
    <w:rsid w:val="008C31C6"/>
    <w:rsid w:val="008C76D9"/>
    <w:rsid w:val="008D0622"/>
    <w:rsid w:val="008D281F"/>
    <w:rsid w:val="008D4897"/>
    <w:rsid w:val="008D56D2"/>
    <w:rsid w:val="008E3DF0"/>
    <w:rsid w:val="008E3F98"/>
    <w:rsid w:val="008E4640"/>
    <w:rsid w:val="008E62DF"/>
    <w:rsid w:val="008E775A"/>
    <w:rsid w:val="008E7BB3"/>
    <w:rsid w:val="008F42A1"/>
    <w:rsid w:val="008F7B76"/>
    <w:rsid w:val="0090000A"/>
    <w:rsid w:val="00900C7C"/>
    <w:rsid w:val="009025E7"/>
    <w:rsid w:val="0091073F"/>
    <w:rsid w:val="00913609"/>
    <w:rsid w:val="0091382F"/>
    <w:rsid w:val="00913AD2"/>
    <w:rsid w:val="009172AD"/>
    <w:rsid w:val="00917E41"/>
    <w:rsid w:val="00921DE8"/>
    <w:rsid w:val="00922D69"/>
    <w:rsid w:val="00924DC9"/>
    <w:rsid w:val="00924F5D"/>
    <w:rsid w:val="0092633C"/>
    <w:rsid w:val="00926CA5"/>
    <w:rsid w:val="00927179"/>
    <w:rsid w:val="009300F0"/>
    <w:rsid w:val="0093077E"/>
    <w:rsid w:val="00931A24"/>
    <w:rsid w:val="0093211D"/>
    <w:rsid w:val="00932A96"/>
    <w:rsid w:val="0093453F"/>
    <w:rsid w:val="009355B3"/>
    <w:rsid w:val="00937A8A"/>
    <w:rsid w:val="00937C63"/>
    <w:rsid w:val="00940DA4"/>
    <w:rsid w:val="00942636"/>
    <w:rsid w:val="009447B0"/>
    <w:rsid w:val="00953749"/>
    <w:rsid w:val="00954F24"/>
    <w:rsid w:val="00957F8F"/>
    <w:rsid w:val="00965107"/>
    <w:rsid w:val="0096567B"/>
    <w:rsid w:val="0097126C"/>
    <w:rsid w:val="00971D9C"/>
    <w:rsid w:val="00972EFB"/>
    <w:rsid w:val="00974592"/>
    <w:rsid w:val="00974DC6"/>
    <w:rsid w:val="009750DA"/>
    <w:rsid w:val="009756AC"/>
    <w:rsid w:val="00976B29"/>
    <w:rsid w:val="0097719A"/>
    <w:rsid w:val="00977D45"/>
    <w:rsid w:val="00980908"/>
    <w:rsid w:val="00981B9C"/>
    <w:rsid w:val="0098489F"/>
    <w:rsid w:val="00990E75"/>
    <w:rsid w:val="0099162B"/>
    <w:rsid w:val="0099200D"/>
    <w:rsid w:val="00993814"/>
    <w:rsid w:val="00994FB2"/>
    <w:rsid w:val="009A1054"/>
    <w:rsid w:val="009A5E5C"/>
    <w:rsid w:val="009B00DF"/>
    <w:rsid w:val="009B1BC3"/>
    <w:rsid w:val="009B5718"/>
    <w:rsid w:val="009B7ADF"/>
    <w:rsid w:val="009C1636"/>
    <w:rsid w:val="009C1D9E"/>
    <w:rsid w:val="009C459E"/>
    <w:rsid w:val="009C70AE"/>
    <w:rsid w:val="009D06CA"/>
    <w:rsid w:val="009D0BBD"/>
    <w:rsid w:val="009D1B9F"/>
    <w:rsid w:val="009D23E5"/>
    <w:rsid w:val="009D4502"/>
    <w:rsid w:val="009D77F2"/>
    <w:rsid w:val="009D7F2A"/>
    <w:rsid w:val="009E0B44"/>
    <w:rsid w:val="009E32B4"/>
    <w:rsid w:val="009E5C94"/>
    <w:rsid w:val="009E65D5"/>
    <w:rsid w:val="009E65E5"/>
    <w:rsid w:val="009F1B3B"/>
    <w:rsid w:val="009F1BC3"/>
    <w:rsid w:val="009F1F7D"/>
    <w:rsid w:val="009F2E45"/>
    <w:rsid w:val="009F32E1"/>
    <w:rsid w:val="009F5B9C"/>
    <w:rsid w:val="009F5F46"/>
    <w:rsid w:val="00A01247"/>
    <w:rsid w:val="00A03394"/>
    <w:rsid w:val="00A03E95"/>
    <w:rsid w:val="00A04E14"/>
    <w:rsid w:val="00A06BCA"/>
    <w:rsid w:val="00A10243"/>
    <w:rsid w:val="00A10341"/>
    <w:rsid w:val="00A10717"/>
    <w:rsid w:val="00A12631"/>
    <w:rsid w:val="00A13000"/>
    <w:rsid w:val="00A14299"/>
    <w:rsid w:val="00A143BC"/>
    <w:rsid w:val="00A15796"/>
    <w:rsid w:val="00A15BDF"/>
    <w:rsid w:val="00A2017E"/>
    <w:rsid w:val="00A22530"/>
    <w:rsid w:val="00A2363A"/>
    <w:rsid w:val="00A24074"/>
    <w:rsid w:val="00A261D9"/>
    <w:rsid w:val="00A304AC"/>
    <w:rsid w:val="00A31799"/>
    <w:rsid w:val="00A3208B"/>
    <w:rsid w:val="00A347A9"/>
    <w:rsid w:val="00A34D7A"/>
    <w:rsid w:val="00A35952"/>
    <w:rsid w:val="00A41A1D"/>
    <w:rsid w:val="00A42745"/>
    <w:rsid w:val="00A42D6E"/>
    <w:rsid w:val="00A474BA"/>
    <w:rsid w:val="00A504EB"/>
    <w:rsid w:val="00A5300F"/>
    <w:rsid w:val="00A53EA7"/>
    <w:rsid w:val="00A60DA9"/>
    <w:rsid w:val="00A61818"/>
    <w:rsid w:val="00A63257"/>
    <w:rsid w:val="00A66005"/>
    <w:rsid w:val="00A66489"/>
    <w:rsid w:val="00A70797"/>
    <w:rsid w:val="00A71D86"/>
    <w:rsid w:val="00A72D7A"/>
    <w:rsid w:val="00A74A0D"/>
    <w:rsid w:val="00A777C2"/>
    <w:rsid w:val="00A811E5"/>
    <w:rsid w:val="00A83323"/>
    <w:rsid w:val="00A86DA6"/>
    <w:rsid w:val="00A90564"/>
    <w:rsid w:val="00A909DD"/>
    <w:rsid w:val="00A910A8"/>
    <w:rsid w:val="00A912E9"/>
    <w:rsid w:val="00A91C8C"/>
    <w:rsid w:val="00A93386"/>
    <w:rsid w:val="00A96B28"/>
    <w:rsid w:val="00A96ECB"/>
    <w:rsid w:val="00A97167"/>
    <w:rsid w:val="00A97E5D"/>
    <w:rsid w:val="00AA0ECA"/>
    <w:rsid w:val="00AA119B"/>
    <w:rsid w:val="00AA1314"/>
    <w:rsid w:val="00AA3E4B"/>
    <w:rsid w:val="00AA3FC2"/>
    <w:rsid w:val="00AA4140"/>
    <w:rsid w:val="00AA76F1"/>
    <w:rsid w:val="00AB00CA"/>
    <w:rsid w:val="00AB0E15"/>
    <w:rsid w:val="00AB4385"/>
    <w:rsid w:val="00AB667D"/>
    <w:rsid w:val="00AC5245"/>
    <w:rsid w:val="00AC5DB7"/>
    <w:rsid w:val="00AC7DA6"/>
    <w:rsid w:val="00AD0B78"/>
    <w:rsid w:val="00AD1880"/>
    <w:rsid w:val="00AD1E8A"/>
    <w:rsid w:val="00AD2EB5"/>
    <w:rsid w:val="00AD2ECA"/>
    <w:rsid w:val="00AD40B7"/>
    <w:rsid w:val="00AD4C0C"/>
    <w:rsid w:val="00AD54AA"/>
    <w:rsid w:val="00AD6382"/>
    <w:rsid w:val="00AE1EE0"/>
    <w:rsid w:val="00AE381D"/>
    <w:rsid w:val="00AE6E89"/>
    <w:rsid w:val="00AE744B"/>
    <w:rsid w:val="00AF0AD5"/>
    <w:rsid w:val="00AF2533"/>
    <w:rsid w:val="00AF27E5"/>
    <w:rsid w:val="00AF42CA"/>
    <w:rsid w:val="00AF505E"/>
    <w:rsid w:val="00AF660E"/>
    <w:rsid w:val="00AF7BDA"/>
    <w:rsid w:val="00AF7FC7"/>
    <w:rsid w:val="00B00A4C"/>
    <w:rsid w:val="00B01D36"/>
    <w:rsid w:val="00B0309E"/>
    <w:rsid w:val="00B046C4"/>
    <w:rsid w:val="00B069D7"/>
    <w:rsid w:val="00B071C8"/>
    <w:rsid w:val="00B10D6B"/>
    <w:rsid w:val="00B16B50"/>
    <w:rsid w:val="00B1715D"/>
    <w:rsid w:val="00B21413"/>
    <w:rsid w:val="00B22B90"/>
    <w:rsid w:val="00B26344"/>
    <w:rsid w:val="00B26E58"/>
    <w:rsid w:val="00B270CF"/>
    <w:rsid w:val="00B30464"/>
    <w:rsid w:val="00B33F91"/>
    <w:rsid w:val="00B3537A"/>
    <w:rsid w:val="00B36119"/>
    <w:rsid w:val="00B370BC"/>
    <w:rsid w:val="00B4193B"/>
    <w:rsid w:val="00B425E4"/>
    <w:rsid w:val="00B46335"/>
    <w:rsid w:val="00B523A3"/>
    <w:rsid w:val="00B65A09"/>
    <w:rsid w:val="00B66243"/>
    <w:rsid w:val="00B6757C"/>
    <w:rsid w:val="00B72FFE"/>
    <w:rsid w:val="00B73FAC"/>
    <w:rsid w:val="00B770CA"/>
    <w:rsid w:val="00B80635"/>
    <w:rsid w:val="00B81293"/>
    <w:rsid w:val="00B8405A"/>
    <w:rsid w:val="00B86470"/>
    <w:rsid w:val="00B869C6"/>
    <w:rsid w:val="00B871DE"/>
    <w:rsid w:val="00B87518"/>
    <w:rsid w:val="00B87730"/>
    <w:rsid w:val="00B91C81"/>
    <w:rsid w:val="00B9469E"/>
    <w:rsid w:val="00B95292"/>
    <w:rsid w:val="00B95EBD"/>
    <w:rsid w:val="00BA329B"/>
    <w:rsid w:val="00BA3491"/>
    <w:rsid w:val="00BA37EF"/>
    <w:rsid w:val="00BA4036"/>
    <w:rsid w:val="00BB1A2C"/>
    <w:rsid w:val="00BB3D4F"/>
    <w:rsid w:val="00BB4886"/>
    <w:rsid w:val="00BB7D5B"/>
    <w:rsid w:val="00BC1A0F"/>
    <w:rsid w:val="00BC2200"/>
    <w:rsid w:val="00BC2311"/>
    <w:rsid w:val="00BD041B"/>
    <w:rsid w:val="00BD0709"/>
    <w:rsid w:val="00BD1720"/>
    <w:rsid w:val="00BD227C"/>
    <w:rsid w:val="00BD399C"/>
    <w:rsid w:val="00BD3EC3"/>
    <w:rsid w:val="00BD4C0E"/>
    <w:rsid w:val="00BD55E4"/>
    <w:rsid w:val="00BD5B4E"/>
    <w:rsid w:val="00BD742E"/>
    <w:rsid w:val="00BE4605"/>
    <w:rsid w:val="00BE5069"/>
    <w:rsid w:val="00BE61C3"/>
    <w:rsid w:val="00BE6854"/>
    <w:rsid w:val="00BE76D8"/>
    <w:rsid w:val="00BE79A2"/>
    <w:rsid w:val="00BF1024"/>
    <w:rsid w:val="00BF360B"/>
    <w:rsid w:val="00BF3881"/>
    <w:rsid w:val="00BF719F"/>
    <w:rsid w:val="00BF71A9"/>
    <w:rsid w:val="00BF755E"/>
    <w:rsid w:val="00BF7818"/>
    <w:rsid w:val="00C00157"/>
    <w:rsid w:val="00C006C6"/>
    <w:rsid w:val="00C0216A"/>
    <w:rsid w:val="00C02C20"/>
    <w:rsid w:val="00C03198"/>
    <w:rsid w:val="00C060C1"/>
    <w:rsid w:val="00C07959"/>
    <w:rsid w:val="00C1130B"/>
    <w:rsid w:val="00C1233C"/>
    <w:rsid w:val="00C12849"/>
    <w:rsid w:val="00C15BC1"/>
    <w:rsid w:val="00C16692"/>
    <w:rsid w:val="00C20D53"/>
    <w:rsid w:val="00C21A11"/>
    <w:rsid w:val="00C243B9"/>
    <w:rsid w:val="00C251DE"/>
    <w:rsid w:val="00C301B5"/>
    <w:rsid w:val="00C32A27"/>
    <w:rsid w:val="00C34DD1"/>
    <w:rsid w:val="00C35848"/>
    <w:rsid w:val="00C36363"/>
    <w:rsid w:val="00C372DB"/>
    <w:rsid w:val="00C405A1"/>
    <w:rsid w:val="00C40F5E"/>
    <w:rsid w:val="00C42DBF"/>
    <w:rsid w:val="00C42F80"/>
    <w:rsid w:val="00C512A3"/>
    <w:rsid w:val="00C51914"/>
    <w:rsid w:val="00C51946"/>
    <w:rsid w:val="00C52D9D"/>
    <w:rsid w:val="00C569CE"/>
    <w:rsid w:val="00C57E3E"/>
    <w:rsid w:val="00C60989"/>
    <w:rsid w:val="00C63256"/>
    <w:rsid w:val="00C63D8E"/>
    <w:rsid w:val="00C664BF"/>
    <w:rsid w:val="00C669AA"/>
    <w:rsid w:val="00C71983"/>
    <w:rsid w:val="00C71F74"/>
    <w:rsid w:val="00C73505"/>
    <w:rsid w:val="00C75D85"/>
    <w:rsid w:val="00C8049A"/>
    <w:rsid w:val="00C93519"/>
    <w:rsid w:val="00C94245"/>
    <w:rsid w:val="00C9449C"/>
    <w:rsid w:val="00CA0196"/>
    <w:rsid w:val="00CA033C"/>
    <w:rsid w:val="00CA2EEC"/>
    <w:rsid w:val="00CA4FF0"/>
    <w:rsid w:val="00CA58BB"/>
    <w:rsid w:val="00CA6B59"/>
    <w:rsid w:val="00CA6F7B"/>
    <w:rsid w:val="00CA7486"/>
    <w:rsid w:val="00CA7EEB"/>
    <w:rsid w:val="00CB03D5"/>
    <w:rsid w:val="00CB3496"/>
    <w:rsid w:val="00CB42AD"/>
    <w:rsid w:val="00CB4F94"/>
    <w:rsid w:val="00CC4A10"/>
    <w:rsid w:val="00CC4F6A"/>
    <w:rsid w:val="00CD3630"/>
    <w:rsid w:val="00CD6710"/>
    <w:rsid w:val="00CD6FF8"/>
    <w:rsid w:val="00CE2923"/>
    <w:rsid w:val="00CE53DD"/>
    <w:rsid w:val="00CF2A7E"/>
    <w:rsid w:val="00CF39C5"/>
    <w:rsid w:val="00CF4091"/>
    <w:rsid w:val="00CF60F4"/>
    <w:rsid w:val="00CF6D2E"/>
    <w:rsid w:val="00D002F0"/>
    <w:rsid w:val="00D00F15"/>
    <w:rsid w:val="00D01275"/>
    <w:rsid w:val="00D023FB"/>
    <w:rsid w:val="00D02D1B"/>
    <w:rsid w:val="00D03C5B"/>
    <w:rsid w:val="00D03F7D"/>
    <w:rsid w:val="00D0404D"/>
    <w:rsid w:val="00D05D3F"/>
    <w:rsid w:val="00D06492"/>
    <w:rsid w:val="00D06632"/>
    <w:rsid w:val="00D076D8"/>
    <w:rsid w:val="00D125D2"/>
    <w:rsid w:val="00D15422"/>
    <w:rsid w:val="00D15F87"/>
    <w:rsid w:val="00D24370"/>
    <w:rsid w:val="00D24622"/>
    <w:rsid w:val="00D24E14"/>
    <w:rsid w:val="00D25807"/>
    <w:rsid w:val="00D26578"/>
    <w:rsid w:val="00D2732E"/>
    <w:rsid w:val="00D279FE"/>
    <w:rsid w:val="00D319AC"/>
    <w:rsid w:val="00D3211F"/>
    <w:rsid w:val="00D337FE"/>
    <w:rsid w:val="00D36E20"/>
    <w:rsid w:val="00D42080"/>
    <w:rsid w:val="00D42AAB"/>
    <w:rsid w:val="00D4455C"/>
    <w:rsid w:val="00D447BF"/>
    <w:rsid w:val="00D45F28"/>
    <w:rsid w:val="00D4616A"/>
    <w:rsid w:val="00D463C3"/>
    <w:rsid w:val="00D47AF0"/>
    <w:rsid w:val="00D523BF"/>
    <w:rsid w:val="00D52FBD"/>
    <w:rsid w:val="00D53800"/>
    <w:rsid w:val="00D53B88"/>
    <w:rsid w:val="00D54F29"/>
    <w:rsid w:val="00D55553"/>
    <w:rsid w:val="00D573D2"/>
    <w:rsid w:val="00D57607"/>
    <w:rsid w:val="00D61355"/>
    <w:rsid w:val="00D62F15"/>
    <w:rsid w:val="00D63C7F"/>
    <w:rsid w:val="00D63F26"/>
    <w:rsid w:val="00D64B37"/>
    <w:rsid w:val="00D658A4"/>
    <w:rsid w:val="00D66C7B"/>
    <w:rsid w:val="00D66D70"/>
    <w:rsid w:val="00D723C4"/>
    <w:rsid w:val="00D74DD4"/>
    <w:rsid w:val="00D75A19"/>
    <w:rsid w:val="00D75D4C"/>
    <w:rsid w:val="00D835B9"/>
    <w:rsid w:val="00D92C89"/>
    <w:rsid w:val="00D97E74"/>
    <w:rsid w:val="00DA1305"/>
    <w:rsid w:val="00DA2988"/>
    <w:rsid w:val="00DA53C5"/>
    <w:rsid w:val="00DA799E"/>
    <w:rsid w:val="00DB0EDF"/>
    <w:rsid w:val="00DB11E7"/>
    <w:rsid w:val="00DB2415"/>
    <w:rsid w:val="00DB5459"/>
    <w:rsid w:val="00DB5EF2"/>
    <w:rsid w:val="00DB7724"/>
    <w:rsid w:val="00DC2C07"/>
    <w:rsid w:val="00DC2E4A"/>
    <w:rsid w:val="00DD24E4"/>
    <w:rsid w:val="00DE0141"/>
    <w:rsid w:val="00DE31D6"/>
    <w:rsid w:val="00DE3F94"/>
    <w:rsid w:val="00DE517F"/>
    <w:rsid w:val="00DE654B"/>
    <w:rsid w:val="00DE6611"/>
    <w:rsid w:val="00DE67BA"/>
    <w:rsid w:val="00DE6ECA"/>
    <w:rsid w:val="00DF2202"/>
    <w:rsid w:val="00DF3BF3"/>
    <w:rsid w:val="00DF4F6B"/>
    <w:rsid w:val="00DF676D"/>
    <w:rsid w:val="00DF6B27"/>
    <w:rsid w:val="00E01CB5"/>
    <w:rsid w:val="00E06A79"/>
    <w:rsid w:val="00E109D2"/>
    <w:rsid w:val="00E116F8"/>
    <w:rsid w:val="00E12200"/>
    <w:rsid w:val="00E1476C"/>
    <w:rsid w:val="00E22F50"/>
    <w:rsid w:val="00E239C4"/>
    <w:rsid w:val="00E246AF"/>
    <w:rsid w:val="00E30158"/>
    <w:rsid w:val="00E30E67"/>
    <w:rsid w:val="00E3151F"/>
    <w:rsid w:val="00E319B0"/>
    <w:rsid w:val="00E31AF7"/>
    <w:rsid w:val="00E34072"/>
    <w:rsid w:val="00E3491F"/>
    <w:rsid w:val="00E424C3"/>
    <w:rsid w:val="00E4367A"/>
    <w:rsid w:val="00E43C4D"/>
    <w:rsid w:val="00E462C0"/>
    <w:rsid w:val="00E4632D"/>
    <w:rsid w:val="00E50249"/>
    <w:rsid w:val="00E51118"/>
    <w:rsid w:val="00E53790"/>
    <w:rsid w:val="00E5403C"/>
    <w:rsid w:val="00E559F4"/>
    <w:rsid w:val="00E576AF"/>
    <w:rsid w:val="00E60D13"/>
    <w:rsid w:val="00E619BF"/>
    <w:rsid w:val="00E62219"/>
    <w:rsid w:val="00E63C5D"/>
    <w:rsid w:val="00E64C3F"/>
    <w:rsid w:val="00E70389"/>
    <w:rsid w:val="00E71042"/>
    <w:rsid w:val="00E710DB"/>
    <w:rsid w:val="00E739F6"/>
    <w:rsid w:val="00E73AF4"/>
    <w:rsid w:val="00E7452B"/>
    <w:rsid w:val="00E75536"/>
    <w:rsid w:val="00E766E3"/>
    <w:rsid w:val="00E77A34"/>
    <w:rsid w:val="00E80675"/>
    <w:rsid w:val="00E8115A"/>
    <w:rsid w:val="00E83507"/>
    <w:rsid w:val="00E848BE"/>
    <w:rsid w:val="00E85544"/>
    <w:rsid w:val="00E8578B"/>
    <w:rsid w:val="00E920FE"/>
    <w:rsid w:val="00E94D30"/>
    <w:rsid w:val="00E97170"/>
    <w:rsid w:val="00EA4F64"/>
    <w:rsid w:val="00EB10E1"/>
    <w:rsid w:val="00EB38A4"/>
    <w:rsid w:val="00EB433E"/>
    <w:rsid w:val="00EB77C1"/>
    <w:rsid w:val="00EC2360"/>
    <w:rsid w:val="00EC2C76"/>
    <w:rsid w:val="00EC3A64"/>
    <w:rsid w:val="00EC72B2"/>
    <w:rsid w:val="00EC7738"/>
    <w:rsid w:val="00ED1A4C"/>
    <w:rsid w:val="00ED1FEA"/>
    <w:rsid w:val="00ED494F"/>
    <w:rsid w:val="00ED531A"/>
    <w:rsid w:val="00EE3604"/>
    <w:rsid w:val="00EE3741"/>
    <w:rsid w:val="00EE41E4"/>
    <w:rsid w:val="00EE5877"/>
    <w:rsid w:val="00EE6D50"/>
    <w:rsid w:val="00EE748D"/>
    <w:rsid w:val="00EF22BD"/>
    <w:rsid w:val="00EF2BFB"/>
    <w:rsid w:val="00EF32CD"/>
    <w:rsid w:val="00EF43E6"/>
    <w:rsid w:val="00EF445F"/>
    <w:rsid w:val="00EF5EF1"/>
    <w:rsid w:val="00F02C4A"/>
    <w:rsid w:val="00F124EC"/>
    <w:rsid w:val="00F133B6"/>
    <w:rsid w:val="00F151D9"/>
    <w:rsid w:val="00F152B9"/>
    <w:rsid w:val="00F15768"/>
    <w:rsid w:val="00F157B1"/>
    <w:rsid w:val="00F16158"/>
    <w:rsid w:val="00F21BCD"/>
    <w:rsid w:val="00F22D8A"/>
    <w:rsid w:val="00F240F3"/>
    <w:rsid w:val="00F24E8A"/>
    <w:rsid w:val="00F31FC4"/>
    <w:rsid w:val="00F34864"/>
    <w:rsid w:val="00F34E69"/>
    <w:rsid w:val="00F34E71"/>
    <w:rsid w:val="00F35376"/>
    <w:rsid w:val="00F42839"/>
    <w:rsid w:val="00F42BD2"/>
    <w:rsid w:val="00F4467B"/>
    <w:rsid w:val="00F44ACE"/>
    <w:rsid w:val="00F45DD4"/>
    <w:rsid w:val="00F52739"/>
    <w:rsid w:val="00F52D76"/>
    <w:rsid w:val="00F55B29"/>
    <w:rsid w:val="00F55E09"/>
    <w:rsid w:val="00F5717E"/>
    <w:rsid w:val="00F60DF7"/>
    <w:rsid w:val="00F61504"/>
    <w:rsid w:val="00F61AED"/>
    <w:rsid w:val="00F6519B"/>
    <w:rsid w:val="00F66E17"/>
    <w:rsid w:val="00F7081A"/>
    <w:rsid w:val="00F74741"/>
    <w:rsid w:val="00F76648"/>
    <w:rsid w:val="00F8096C"/>
    <w:rsid w:val="00F8319C"/>
    <w:rsid w:val="00F84537"/>
    <w:rsid w:val="00F875F7"/>
    <w:rsid w:val="00F90DC1"/>
    <w:rsid w:val="00F9101B"/>
    <w:rsid w:val="00F92937"/>
    <w:rsid w:val="00F92EB5"/>
    <w:rsid w:val="00F94218"/>
    <w:rsid w:val="00F94342"/>
    <w:rsid w:val="00F96664"/>
    <w:rsid w:val="00F97D02"/>
    <w:rsid w:val="00FA155F"/>
    <w:rsid w:val="00FA6BC8"/>
    <w:rsid w:val="00FB2F23"/>
    <w:rsid w:val="00FB37A4"/>
    <w:rsid w:val="00FB5B24"/>
    <w:rsid w:val="00FC3451"/>
    <w:rsid w:val="00FC5FA7"/>
    <w:rsid w:val="00FD12AB"/>
    <w:rsid w:val="00FD5331"/>
    <w:rsid w:val="00FD6DEC"/>
    <w:rsid w:val="00FD70D3"/>
    <w:rsid w:val="00FD710C"/>
    <w:rsid w:val="00FE052E"/>
    <w:rsid w:val="00FE0F9C"/>
    <w:rsid w:val="00FE2BBD"/>
    <w:rsid w:val="00FE3834"/>
    <w:rsid w:val="00FE3FD3"/>
    <w:rsid w:val="00FE7500"/>
    <w:rsid w:val="00FF36CD"/>
    <w:rsid w:val="00FF51EB"/>
    <w:rsid w:val="00FF621B"/>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912E9"/>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character" w:styleId="Hyperlink">
    <w:name w:val="Hyperlink"/>
    <w:rsid w:val="00A033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912E9"/>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character" w:styleId="Hyperlink">
    <w:name w:val="Hyperlink"/>
    <w:rsid w:val="00A03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8811">
      <w:bodyDiv w:val="1"/>
      <w:marLeft w:val="0"/>
      <w:marRight w:val="0"/>
      <w:marTop w:val="0"/>
      <w:marBottom w:val="0"/>
      <w:divBdr>
        <w:top w:val="none" w:sz="0" w:space="0" w:color="auto"/>
        <w:left w:val="none" w:sz="0" w:space="0" w:color="auto"/>
        <w:bottom w:val="none" w:sz="0" w:space="0" w:color="auto"/>
        <w:right w:val="none" w:sz="0" w:space="0" w:color="auto"/>
      </w:divBdr>
    </w:div>
    <w:div w:id="171392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erman-pavilio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6313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AMP.BMWi.G.G-Form.A.Deutsch</vt:lpstr>
    </vt:vector>
  </TitlesOfParts>
  <Company>AUMA e.V.</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AMP.BMWi.G.G-Form.A.Deutsch</dc:title>
  <dc:creator>Dirk W. Lönne</dc:creator>
  <cp:lastModifiedBy>Johnsson, Svenja</cp:lastModifiedBy>
  <cp:revision>2</cp:revision>
  <cp:lastPrinted>2014-01-06T16:09:00Z</cp:lastPrinted>
  <dcterms:created xsi:type="dcterms:W3CDTF">2020-09-15T10:20:00Z</dcterms:created>
  <dcterms:modified xsi:type="dcterms:W3CDTF">2020-09-15T10:20:00Z</dcterms:modified>
</cp:coreProperties>
</file>